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9702" y="303568"/>
                            <a:ext cx="3337140" cy="2616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TC101a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2"/>
                                </w:rPr>
                                <w:t>基于热电偶的温度</w:t>
                              </w:r>
                              <w:r>
                                <w:t>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3906812</wp:posOffset>
                </wp:positionH>
                <wp:positionV relativeFrom="paragraph">
                  <wp:posOffset>14083</wp:posOffset>
                </wp:positionV>
                <wp:extent cx="3445510" cy="2421890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5510" cy="2421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3"/>
                                    <w:spacing w:before="126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目录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1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产品概述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安装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指南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记录仪</w:t>
                                  </w:r>
                                  <w:r>
                                    <w:t>接线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维护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>
                                  <w:pPr>
                                    <w:pStyle w:val="P68B1DB1-TableParagraph7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需要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帮助吗？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spacing w:val="-2"/>
          <w:w w:val="105"/>
        </w:rPr>
        <w:t>产品</w:t>
      </w:r>
      <w:r>
        <w:rPr>
          <w:color w:val="A93F53"/>
          <w:w w:val="105"/>
        </w:rPr>
        <w:t>用户指南</w:t>
      </w:r>
    </w:p>
    <w:p>
      <w:pPr>
        <w:spacing w:line="235" w:lineRule="auto" w:before="261"/>
        <w:ind w:left="720" w:right="6388" w:firstLine="0"/>
        <w:jc w:val="left"/>
        <w:rPr>
          <w:sz w:val="24"/>
        </w:rPr>
        <w:pStyle w:val="P68B1DB1-Normal8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r>
        <w:rPr>
          <w:b/>
          <w:color w:val="A93F53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4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336" w:top="1460" w:bottom="520" w:left="0" w:right="540"/>
          <w:pgNumType w:start="2"/>
        </w:sectPr>
      </w:pPr>
    </w:p>
    <w:p>
      <w:pPr>
        <w:pStyle w:val="P68B1DB1-Heading19"/>
        <w:spacing w:before="141"/>
      </w:pPr>
      <w:r>
        <w:t>产品</w:t>
      </w:r>
      <w:r>
        <w:rPr>
          <w:spacing w:val="-2"/>
        </w:rPr>
        <w:t>概述</w:t>
      </w:r>
    </w:p>
    <w:p>
      <w:pPr>
        <w:pStyle w:val="P68B1DB1-BodyText10"/>
        <w:spacing w:line="249" w:lineRule="auto" w:before="75"/>
        <w:ind w:left="720"/>
      </w:pPr>
      <w:r>
        <w:t>TC101A温度数据记录仪是一款紧凑型</w:t>
      </w:r>
      <w:r>
        <w:rPr>
          <w:spacing w:val="-2"/>
        </w:rPr>
        <w:t>多功能</w:t>
      </w:r>
      <w:r>
        <w:rPr>
          <w:spacing w:val="-2"/>
        </w:rPr>
        <w:t>设备</w:t>
      </w:r>
      <w:r>
        <w:rPr>
          <w:spacing w:val="-2"/>
        </w:rPr>
        <w:t>，可</w:t>
      </w:r>
      <w:r>
        <w:rPr>
          <w:spacing w:val="-2"/>
        </w:rPr>
        <w:t>与</w:t>
      </w:r>
      <w:r>
        <w:rPr>
          <w:spacing w:val="-2"/>
        </w:rPr>
        <w:t>热电偶</w:t>
      </w:r>
      <w:r>
        <w:rPr>
          <w:spacing w:val="-2"/>
        </w:rPr>
        <w:t>探头</w:t>
      </w:r>
      <w:r>
        <w:rPr>
          <w:spacing w:val="-2"/>
        </w:rPr>
        <w:t>配合使用</w:t>
      </w:r>
      <w:r>
        <w:rPr>
          <w:spacing w:val="-2"/>
        </w:rPr>
        <w:t>，用于</w:t>
      </w:r>
      <w:r>
        <w:t>精确的温度监测和分析。</w:t>
      </w:r>
    </w:p>
    <w:p>
      <w:pPr>
        <w:pStyle w:val="P68B1DB1-BodyText10"/>
        <w:spacing w:line="249" w:lineRule="auto" w:before="92"/>
        <w:ind w:left="720" w:right="183"/>
      </w:pPr>
      <w:r>
        <w:t xml:space="preserve">TC 101 A</w:t>
      </w:r>
      <w:r>
        <w:rPr>
          <w:spacing w:val="-2"/>
        </w:rPr>
        <w:t>兼容</w:t>
      </w:r>
      <w:r>
        <w:rPr>
          <w:spacing w:val="-2"/>
        </w:rPr>
        <w:t>八</w:t>
      </w:r>
      <w:r>
        <w:rPr>
          <w:spacing w:val="-2"/>
        </w:rPr>
        <w:t>种不同</w:t>
      </w:r>
      <w:r>
        <w:rPr>
          <w:spacing w:val="-2"/>
        </w:rPr>
        <w:t>类型</w:t>
      </w:r>
      <w:r>
        <w:rPr>
          <w:spacing w:val="-2"/>
        </w:rPr>
        <w:t>的</w:t>
      </w:r>
      <w:r>
        <w:rPr>
          <w:spacing w:val="-2"/>
        </w:rPr>
        <w:t>热电偶</w:t>
      </w:r>
      <w:r>
        <w:t>探头，可测量低</w:t>
      </w:r>
      <w:r>
        <w:rPr>
          <w:spacing w:val="-4"/>
        </w:rPr>
        <w:t>至</w:t>
      </w:r>
      <w:r>
        <w:rPr>
          <w:spacing w:val="-4"/>
        </w:rPr>
        <w:t>-270</w:t>
      </w:r>
      <w:r>
        <w:rPr>
          <w:spacing w:val="-4"/>
        </w:rPr>
        <w:t>°C</w:t>
      </w:r>
      <w:r>
        <w:rPr>
          <w:spacing w:val="-4"/>
        </w:rPr>
        <w:t>（-454</w:t>
      </w:r>
      <w:r>
        <w:rPr>
          <w:spacing w:val="-4"/>
        </w:rPr>
        <w:t>°F）</w:t>
      </w:r>
      <w:r>
        <w:rPr>
          <w:spacing w:val="-4"/>
        </w:rPr>
        <w:t>的</w:t>
      </w:r>
      <w:r>
        <w:t>温度</w:t>
      </w:r>
      <w:r>
        <w:rPr>
          <w:spacing w:val="-4"/>
        </w:rPr>
        <w:t>，</w:t>
      </w:r>
      <w:r>
        <w:rPr>
          <w:spacing w:val="-4"/>
        </w:rPr>
        <w:t>最</w:t>
      </w:r>
      <w:r>
        <w:rPr>
          <w:spacing w:val="-4"/>
        </w:rPr>
        <w:t>高</w:t>
      </w:r>
      <w:r>
        <w:t>可</w:t>
      </w:r>
      <w:r>
        <w:rPr>
          <w:spacing w:val="-4"/>
        </w:rPr>
        <w:t>测量</w:t>
      </w:r>
      <w:r>
        <w:rPr>
          <w:spacing w:val="-4"/>
        </w:rPr>
        <w:t>+1820</w:t>
      </w:r>
      <w:r>
        <w:rPr>
          <w:spacing w:val="-4"/>
        </w:rPr>
        <w:t>°C</w:t>
      </w:r>
      <w:r>
        <w:rPr>
          <w:spacing w:val="-4"/>
        </w:rPr>
        <w:t>（+3308</w:t>
      </w:r>
    </w:p>
    <w:p>
      <w:pPr>
        <w:pStyle w:val="P68B1DB1-BodyText10"/>
        <w:spacing w:line="249" w:lineRule="auto" w:before="2"/>
        <w:ind w:left="720"/>
      </w:pPr>
      <w:r>
        <w:t>°F）（取决于探头），数据记录仪主体的环境工作</w:t>
      </w:r>
      <w:r>
        <w:rPr>
          <w:spacing w:val="-4"/>
        </w:rPr>
        <w:t>温度</w:t>
      </w:r>
      <w:r>
        <w:rPr>
          <w:spacing w:val="-4"/>
        </w:rPr>
        <w:t>范围</w:t>
      </w:r>
      <w:r>
        <w:rPr>
          <w:spacing w:val="-4"/>
        </w:rPr>
        <w:t>为</w:t>
      </w:r>
      <w:r>
        <w:rPr>
          <w:spacing w:val="-4"/>
        </w:rPr>
        <w:t>-40</w:t>
      </w:r>
      <w:r>
        <w:rPr>
          <w:spacing w:val="-4"/>
        </w:rPr>
        <w:t>°C</w:t>
      </w:r>
      <w:r>
        <w:rPr>
          <w:spacing w:val="-4"/>
        </w:rPr>
        <w:t>至</w:t>
      </w:r>
      <w:r>
        <w:rPr>
          <w:spacing w:val="-4"/>
        </w:rPr>
        <w:t>+80</w:t>
      </w:r>
      <w:r>
        <w:rPr>
          <w:spacing w:val="-4"/>
        </w:rPr>
        <w:t>°C</w:t>
      </w:r>
      <w:r>
        <w:rPr>
          <w:spacing w:val="-4"/>
        </w:rPr>
        <w:t>（-40</w:t>
      </w:r>
      <w:r>
        <w:rPr>
          <w:spacing w:val="-4"/>
        </w:rPr>
        <w:t>°F</w:t>
      </w:r>
      <w:r>
        <w:rPr>
          <w:spacing w:val="-4"/>
        </w:rPr>
        <w:t>至</w:t>
      </w:r>
      <w:r>
        <w:rPr>
          <w:spacing w:val="-4"/>
        </w:rPr>
        <w:t>+176</w:t>
      </w:r>
      <w:r>
        <w:rPr>
          <w:spacing w:val="-4"/>
        </w:rPr>
        <w:t>°F）</w:t>
      </w:r>
    </w:p>
    <w:p>
      <w:pPr>
        <w:pStyle w:val="BodyText"/>
        <w:spacing w:before="168"/>
      </w:pPr>
    </w:p>
    <w:p>
      <w:pPr>
        <w:pStyle w:val="P68B1DB1-Heading19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146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A93F53"/>
        </w:rPr>
        <w:t xml:space="preserve">IFC 200</w:t>
      </w:r>
      <w:r>
        <w:rPr>
          <w:color w:val="A93F53"/>
        </w:rPr>
        <w:t>（单独销售</w:t>
      </w:r>
      <w:r>
        <w:rPr>
          <w:color w:val="A93F53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USB端口。驱动程序将自动安装。</w:t>
      </w:r>
    </w:p>
    <w:p>
      <w:pPr>
        <w:pStyle w:val="P68B1DB1-Heading211"/>
        <w:spacing w:before="232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r>
        <w:rPr>
          <w:b/>
          <w:color w:val="A93F53"/>
        </w:rPr>
        <w:t>madgetech.com</w:t>
      </w:r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P68B1DB1-Heading19"/>
        <w:spacing w:before="1"/>
      </w:pPr>
      <w:r>
        <w:t>数据</w:t>
      </w:r>
      <w:r>
        <w:rPr>
          <w:spacing w:val="-2"/>
        </w:rPr>
        <w:t>记录仪</w:t>
      </w:r>
      <w:r>
        <w:t>接线</w:t>
      </w:r>
    </w:p>
    <w:p>
      <w:pPr>
        <w:pStyle w:val="P68B1DB1-Heading211"/>
        <w:spacing w:before="125"/>
      </w:pPr>
      <w:r>
        <w:t>MP型</w:t>
      </w:r>
      <w:r>
        <w:rPr>
          <w:spacing w:val="-2"/>
        </w:rPr>
        <w:t>接线</w:t>
      </w:r>
    </w:p>
    <w:p>
      <w:pPr>
        <w:pStyle w:val="P68B1DB1-BodyText10"/>
        <w:spacing w:line="249" w:lineRule="auto" w:before="96"/>
        <w:ind w:left="720"/>
      </w:pPr>
      <w:r>
        <w:t>标准连接器是SMP连接，</w:t>
      </w:r>
      <w:r>
        <w:rPr>
          <w:spacing w:val="-2"/>
        </w:rPr>
        <w:t>允许</w:t>
      </w:r>
      <w:r>
        <w:rPr>
          <w:spacing w:val="-2"/>
        </w:rPr>
        <w:t>用户</w:t>
      </w:r>
      <w:r>
        <w:rPr>
          <w:spacing w:val="-2"/>
        </w:rPr>
        <w:t>将</w:t>
      </w:r>
      <w:r>
        <w:rPr>
          <w:spacing w:val="-2"/>
        </w:rPr>
        <w:t>超</w:t>
      </w:r>
      <w:r>
        <w:rPr>
          <w:spacing w:val="-2"/>
        </w:rPr>
        <w:t>小型</w:t>
      </w:r>
      <w:r>
        <w:rPr>
          <w:spacing w:val="-2"/>
        </w:rPr>
        <w:t>热电偶</w:t>
      </w:r>
      <w:r>
        <w:t>插头插入设备上的连接器。</w:t>
      </w:r>
    </w:p>
    <w:p>
      <w:pPr>
        <w:pStyle w:val="BodyText"/>
        <w:spacing w:before="7"/>
        <w:rPr>
          <w:sz w:val="17"/>
        </w:rPr>
      </w:pPr>
      <w: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472413</wp:posOffset>
            </wp:positionH>
            <wp:positionV relativeFrom="paragraph">
              <wp:posOffset>151704</wp:posOffset>
            </wp:positionV>
            <wp:extent cx="2658910" cy="877824"/>
            <wp:effectExtent l="0" t="0" r="0" b="0"/>
            <wp:wrapTopAndBottom/>
            <wp:docPr id="33" name="图像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图像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91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7"/>
        <w:ind w:left="473"/>
      </w:pPr>
      <w:r>
        <w:rPr>
          <w:b w:val="0"/>
        </w:rPr>
        <w:br w:type="column"/>
      </w:r>
      <w:r>
        <w:rPr>
          <w:color w:val="A93F53"/>
          <w:w w:val="110"/>
        </w:rPr>
        <w:t>ST和TB</w:t>
      </w:r>
      <w:r>
        <w:rPr>
          <w:color w:val="A93F53"/>
          <w:spacing w:val="-2"/>
          <w:w w:val="110"/>
        </w:rPr>
        <w:t>模型</w:t>
      </w:r>
    </w:p>
    <w:p>
      <w:pPr>
        <w:spacing w:line="249" w:lineRule="auto" w:before="96"/>
        <w:ind w:left="473" w:right="154" w:firstLine="0"/>
        <w:jc w:val="left"/>
        <w:rPr>
          <w:i/>
          <w:sz w:val="22"/>
        </w:rPr>
        <w:pStyle w:val="P68B1DB1-Normal12"/>
      </w:pPr>
      <w:r>
        <w:t xml:space="preserve">接线TC 101 A-ST和TC 101 A-TB有一个三位可拆卸螺丝端子。</w:t>
      </w:r>
      <w:r>
        <w:rPr>
          <w:spacing w:val="-5"/>
        </w:rPr>
        <w:t xml:space="preserve"> </w:t>
      </w:r>
      <w:r>
        <w:t>这</w:t>
      </w:r>
      <w:r>
        <w:t>使得</w:t>
      </w:r>
      <w:r>
        <w:t>数据记录仪可以通过导线连接到大多数3线热电偶</w:t>
      </w:r>
      <w:r>
        <w:rPr>
          <w:spacing w:val="-2"/>
        </w:rPr>
        <w:t>。</w:t>
      </w:r>
      <w:r>
        <w:rPr>
          <w:spacing w:val="-11"/>
        </w:rPr>
        <w:t>注</w:t>
      </w:r>
      <w:r>
        <w:rPr>
          <w:b/>
          <w:i/>
          <w:spacing w:val="-2"/>
        </w:rPr>
        <w:t>：</w:t>
      </w:r>
      <w:r>
        <w:rPr>
          <w:i/>
          <w:spacing w:val="-2"/>
        </w:rPr>
        <w:t>请</w:t>
      </w:r>
      <w:r>
        <w:rPr>
          <w:i/>
          <w:spacing w:val="-2"/>
        </w:rPr>
        <w:t>务必</w:t>
      </w:r>
      <w:r>
        <w:rPr>
          <w:i/>
          <w:spacing w:val="-2"/>
        </w:rPr>
        <w:t>将</w:t>
      </w:r>
      <w:r>
        <w:rPr>
          <w:i/>
          <w:spacing w:val="-2"/>
        </w:rPr>
        <w:t>热电偶连接</w:t>
      </w:r>
      <w:r>
        <w:rPr>
          <w:i/>
        </w:rPr>
        <w:t>到</w:t>
      </w:r>
      <w:r>
        <w:rPr>
          <w:i/>
          <w:spacing w:val="-3"/>
        </w:rPr>
        <w:t>设备外壳上标记</w:t>
      </w:r>
      <w:r>
        <w:rPr>
          <w:i/>
        </w:rPr>
        <w:t>的</w:t>
      </w:r>
      <w:r>
        <w:rPr>
          <w:i/>
        </w:rPr>
        <w:t>正确</w:t>
      </w:r>
      <w:r>
        <w:rPr>
          <w:i/>
        </w:rPr>
        <w:t>极性</w:t>
      </w:r>
      <w:r>
        <w:rPr>
          <w:i/>
        </w:rPr>
        <w:t>。</w:t>
      </w:r>
    </w:p>
    <w:p>
      <w:pPr>
        <w:pStyle w:val="BodyText"/>
        <w:spacing w:before="6"/>
        <w:rPr>
          <w:i/>
          <w:sz w:val="14"/>
        </w:rPr>
      </w:pPr>
      <w: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4044288</wp:posOffset>
            </wp:positionH>
            <wp:positionV relativeFrom="paragraph">
              <wp:posOffset>127663</wp:posOffset>
            </wp:positionV>
            <wp:extent cx="3123093" cy="829055"/>
            <wp:effectExtent l="0" t="0" r="0" b="0"/>
            <wp:wrapTopAndBottom/>
            <wp:docPr id="34" name="图像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图像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093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2"/>
        <w:rPr>
          <w:i/>
        </w:rPr>
      </w:pPr>
    </w:p>
    <w:p>
      <w:pPr>
        <w:pStyle w:val="P68B1DB1-BodyText10"/>
        <w:spacing w:line="249" w:lineRule="auto" w:before="1"/>
        <w:ind w:left="473"/>
      </w:pPr>
      <w:r>
        <w:rPr>
          <w:spacing w:val="-4"/>
        </w:rPr>
        <w:t xml:space="preserve">TC 101 A-ST</w:t>
      </w:r>
      <w:r>
        <w:rPr>
          <w:spacing w:val="-4"/>
        </w:rPr>
        <w:t>和</w:t>
      </w:r>
      <w:r>
        <w:rPr>
          <w:spacing w:val="-4"/>
        </w:rPr>
        <w:t xml:space="preserve">TC 101 A-TB</w:t>
      </w:r>
      <w:r>
        <w:rPr>
          <w:spacing w:val="-4"/>
        </w:rPr>
        <w:t>能够</w:t>
      </w:r>
      <w:r>
        <w:t>通过接地连接</w:t>
      </w:r>
      <w:r>
        <w:rPr>
          <w:spacing w:val="-4"/>
        </w:rPr>
        <w:t>屏蔽</w:t>
      </w:r>
      <w:r>
        <w:t>热电偶</w:t>
      </w:r>
      <w:r>
        <w:t>当使用</w:t>
      </w:r>
    </w:p>
    <w:p>
      <w:pPr>
        <w:pStyle w:val="P68B1DB1-BodyText10"/>
        <w:spacing w:before="1"/>
        <w:ind w:left="473"/>
      </w:pPr>
      <w:r>
        <w:rPr>
          <w:spacing w:val="-6"/>
        </w:rPr>
        <w:t>2线</w:t>
      </w:r>
      <w:r>
        <w:rPr>
          <w:spacing w:val="-6"/>
        </w:rPr>
        <w:t>热电偶，</w:t>
      </w:r>
      <w:r>
        <w:rPr>
          <w:spacing w:val="-6"/>
        </w:rPr>
        <w:t>保持</w:t>
      </w:r>
      <w:r>
        <w:rPr>
          <w:spacing w:val="-6"/>
        </w:rPr>
        <w:t>接地</w:t>
      </w:r>
      <w:r>
        <w:rPr>
          <w:spacing w:val="-6"/>
        </w:rPr>
        <w:t>输入</w:t>
      </w:r>
      <w:r>
        <w:rPr>
          <w:spacing w:val="-6"/>
        </w:rPr>
        <w:t>未连接。</w:t>
      </w:r>
    </w:p>
    <w:p>
      <w:pPr>
        <w:pStyle w:val="BodyText"/>
        <w:spacing w:before="178"/>
      </w:pPr>
    </w:p>
    <w:p>
      <w:pPr>
        <w:pStyle w:val="P68B1DB1-Heading19"/>
        <w:ind w:left="473"/>
      </w:pPr>
      <w:r>
        <w:t>设备</w:t>
      </w:r>
      <w:r>
        <w:rPr>
          <w:spacing w:val="-2"/>
        </w:rPr>
        <w:t>操作</w:t>
      </w:r>
    </w:p>
    <w:p>
      <w:pPr>
        <w:pStyle w:val="P68B1DB1-Heading211"/>
        <w:spacing w:before="145"/>
        <w:ind w:left="473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3"/>
        <w:numPr>
          <w:ilvl w:val="0"/>
          <w:numId w:val="1"/>
        </w:numPr>
        <w:tabs>
          <w:tab w:pos="761" w:val="left" w:leader="none"/>
        </w:tabs>
        <w:spacing w:line="249" w:lineRule="auto" w:before="96" w:after="0"/>
        <w:ind w:left="761" w:right="528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3"/>
        <w:numPr>
          <w:ilvl w:val="0"/>
          <w:numId w:val="1"/>
        </w:numPr>
        <w:tabs>
          <w:tab w:pos="761" w:val="left" w:leader="none"/>
        </w:tabs>
        <w:spacing w:line="249" w:lineRule="auto" w:before="92" w:after="0"/>
        <w:ind w:left="761" w:right="61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3"/>
        <w:numPr>
          <w:ilvl w:val="0"/>
          <w:numId w:val="1"/>
        </w:numPr>
        <w:tabs>
          <w:tab w:pos="761" w:val="left" w:leader="none"/>
        </w:tabs>
        <w:spacing w:line="249" w:lineRule="auto" w:before="91" w:after="0"/>
        <w:ind w:left="761" w:right="450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3"/>
        <w:numPr>
          <w:ilvl w:val="0"/>
          <w:numId w:val="1"/>
        </w:numPr>
        <w:tabs>
          <w:tab w:pos="761" w:val="left" w:leader="none"/>
        </w:tabs>
        <w:spacing w:line="249" w:lineRule="auto" w:before="92" w:after="0"/>
        <w:ind w:left="761" w:right="52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61" w:right="324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P68B1DB1-ListParagraph13"/>
        <w:numPr>
          <w:ilvl w:val="1"/>
          <w:numId w:val="1"/>
        </w:numPr>
        <w:tabs>
          <w:tab w:pos="993" w:val="left" w:leader="none"/>
        </w:tabs>
        <w:spacing w:line="249" w:lineRule="auto" w:before="91" w:after="0"/>
        <w:ind w:left="993" w:right="512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P68B1DB1-ListParagraph13"/>
        <w:numPr>
          <w:ilvl w:val="1"/>
          <w:numId w:val="1"/>
        </w:numPr>
        <w:tabs>
          <w:tab w:pos="993" w:val="left" w:leader="none"/>
        </w:tabs>
        <w:spacing w:line="249" w:lineRule="auto" w:before="2" w:after="0"/>
        <w:ind w:left="993" w:right="420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P68B1DB1-ListParagraph13"/>
        <w:numPr>
          <w:ilvl w:val="1"/>
          <w:numId w:val="1"/>
        </w:numPr>
        <w:tabs>
          <w:tab w:pos="993" w:val="left" w:leader="none"/>
        </w:tabs>
        <w:spacing w:line="249" w:lineRule="auto" w:before="1" w:after="0"/>
        <w:ind w:left="993" w:right="671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3"/>
        <w:numPr>
          <w:ilvl w:val="0"/>
          <w:numId w:val="1"/>
        </w:numPr>
        <w:tabs>
          <w:tab w:pos="761" w:val="left" w:leader="none"/>
        </w:tabs>
        <w:spacing w:line="249" w:lineRule="auto" w:before="92" w:after="0"/>
        <w:ind w:left="761" w:right="82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3"/>
        <w:numPr>
          <w:ilvl w:val="0"/>
          <w:numId w:val="1"/>
        </w:numPr>
        <w:tabs>
          <w:tab w:pos="761" w:val="left" w:leader="none"/>
        </w:tabs>
        <w:spacing w:line="249" w:lineRule="auto" w:before="92" w:after="0"/>
        <w:ind w:left="761" w:right="55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18" w:lineRule="auto" w:before="65"/>
        <w:ind w:left="473" w:right="492" w:firstLine="0"/>
        <w:jc w:val="left"/>
        <w:rPr>
          <w:i/>
          <w:sz w:val="18"/>
        </w:rPr>
        <w:pStyle w:val="P68B1DB1-Normal14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spacing w:after="0" w:line="218" w:lineRule="auto"/>
        <w:jc w:val="left"/>
        <w:rPr>
          <w:sz w:val="18"/>
        </w:rPr>
        <w:sectPr>
          <w:type w:val="continuous"/>
          <w:pgSz w:w="12240" w:h="15840"/>
          <w:pgMar w:header="148" w:footer="336" w:top="1220" w:bottom="280" w:left="0" w:right="540"/>
          <w:cols w:num="2" w:equalWidth="0">
            <w:col w:w="5832" w:space="40"/>
            <w:col w:w="582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6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6" w:top="1460" w:bottom="520" w:left="0" w:right="540"/>
        </w:sectPr>
      </w:pPr>
    </w:p>
    <w:p>
      <w:pPr>
        <w:pStyle w:val="P68B1DB1-Heading215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3"/>
        <w:numPr>
          <w:ilvl w:val="0"/>
          <w:numId w:val="2"/>
        </w:numPr>
        <w:tabs>
          <w:tab w:pos="1007" w:val="left" w:leader="none"/>
        </w:tabs>
        <w:spacing w:line="240" w:lineRule="auto" w:before="96" w:after="0"/>
        <w:ind w:left="1007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P68B1DB1-ListParagraph13"/>
        <w:numPr>
          <w:ilvl w:val="0"/>
          <w:numId w:val="2"/>
        </w:numPr>
        <w:tabs>
          <w:tab w:pos="1008" w:val="left" w:leader="none"/>
        </w:tabs>
        <w:spacing w:line="249" w:lineRule="auto" w:before="127" w:after="0"/>
        <w:ind w:left="1008" w:right="28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P68B1DB1-ListParagraph13"/>
        <w:numPr>
          <w:ilvl w:val="0"/>
          <w:numId w:val="2"/>
        </w:numPr>
        <w:tabs>
          <w:tab w:pos="1008" w:val="left" w:leader="none"/>
        </w:tabs>
        <w:spacing w:line="249" w:lineRule="auto" w:before="116" w:after="0"/>
        <w:ind w:left="1008" w:right="634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3"/>
        <w:numPr>
          <w:ilvl w:val="0"/>
          <w:numId w:val="2"/>
        </w:numPr>
        <w:tabs>
          <w:tab w:pos="1008" w:val="left" w:leader="none"/>
        </w:tabs>
        <w:spacing w:line="249" w:lineRule="auto" w:before="117" w:after="0"/>
        <w:ind w:left="1008" w:right="375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215"/>
        <w:spacing w:before="168"/>
      </w:pPr>
      <w:r>
        <w:t>热电偶</w:t>
      </w:r>
      <w:r>
        <w:rPr>
          <w:spacing w:val="-4"/>
        </w:rPr>
        <w:t>类型</w:t>
      </w:r>
    </w:p>
    <w:p>
      <w:pPr>
        <w:pStyle w:val="P68B1DB1-BodyText10"/>
        <w:spacing w:before="96"/>
        <w:ind w:left="720"/>
      </w:pPr>
      <w:r>
        <w:t>要更改热电偶</w:t>
      </w:r>
      <w:r>
        <w:rPr>
          <w:spacing w:val="-2"/>
        </w:rPr>
        <w:t>类型：</w:t>
      </w:r>
    </w:p>
    <w:p>
      <w:pPr>
        <w:pStyle w:val="P68B1DB1-ListParagraph13"/>
        <w:numPr>
          <w:ilvl w:val="1"/>
          <w:numId w:val="2"/>
        </w:numPr>
        <w:tabs>
          <w:tab w:pos="899" w:val="left" w:leader="none"/>
        </w:tabs>
        <w:spacing w:line="240" w:lineRule="auto" w:before="101" w:after="0"/>
        <w:ind w:left="899" w:right="0" w:hanging="179"/>
        <w:jc w:val="left"/>
        <w:rPr>
          <w:sz w:val="22"/>
        </w:rPr>
      </w:pPr>
      <w:r>
        <w:rPr>
          <w:spacing w:val="-2"/>
        </w:rPr>
        <w:t>在“</w:t>
      </w:r>
      <w:r>
        <w:rPr>
          <w:b/>
          <w:spacing w:val="-2"/>
        </w:rPr>
        <w:t>连接的</w:t>
      </w:r>
      <w:r>
        <w:rPr>
          <w:b/>
          <w:spacing w:val="-2"/>
        </w:rPr>
        <w:t>设备”</w:t>
      </w:r>
      <w:r>
        <w:rPr>
          <w:spacing w:val="-2"/>
        </w:rPr>
        <w:t>面板中，单击所需的设备</w:t>
      </w:r>
    </w:p>
    <w:p>
      <w:pPr>
        <w:pStyle w:val="P68B1DB1-ListParagraph13"/>
        <w:numPr>
          <w:ilvl w:val="1"/>
          <w:numId w:val="2"/>
        </w:numPr>
        <w:tabs>
          <w:tab w:pos="900" w:val="left" w:leader="none"/>
        </w:tabs>
        <w:spacing w:line="249" w:lineRule="auto" w:before="102" w:after="0"/>
        <w:ind w:left="900" w:right="468" w:hanging="18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3"/>
        <w:numPr>
          <w:ilvl w:val="1"/>
          <w:numId w:val="2"/>
        </w:numPr>
        <w:tabs>
          <w:tab w:pos="900" w:val="left" w:leader="none"/>
        </w:tabs>
        <w:spacing w:line="249" w:lineRule="auto" w:before="92" w:after="0"/>
        <w:ind w:left="900" w:right="38" w:hanging="180"/>
        <w:jc w:val="left"/>
        <w:rPr>
          <w:sz w:val="22"/>
        </w:rPr>
      </w:pPr>
      <w:r>
        <w:t>在</w:t>
      </w:r>
      <w:r>
        <w:rPr>
          <w:b/>
        </w:rPr>
        <w:t>常规</w:t>
      </w:r>
      <w:r>
        <w:t>选项卡上，在下拉菜单中更改</w:t>
      </w:r>
      <w:r>
        <w:rPr>
          <w:b/>
        </w:rPr>
        <w:t>热电偶类型</w:t>
      </w:r>
    </w:p>
    <w:p>
      <w:pPr>
        <w:pStyle w:val="P68B1DB1-ListParagraph13"/>
        <w:numPr>
          <w:ilvl w:val="1"/>
          <w:numId w:val="2"/>
        </w:numPr>
        <w:tabs>
          <w:tab w:pos="900" w:val="left" w:leader="none"/>
        </w:tabs>
        <w:spacing w:line="249" w:lineRule="auto" w:before="91" w:after="0"/>
        <w:ind w:left="900" w:right="57" w:hanging="180"/>
        <w:jc w:val="left"/>
        <w:rPr>
          <w:sz w:val="22"/>
        </w:rPr>
      </w:pPr>
      <w:r>
        <w:rPr>
          <w:spacing w:val="-2"/>
        </w:rPr>
        <w:t>应用</w:t>
      </w:r>
      <w:r>
        <w:rPr>
          <w:spacing w:val="-2"/>
        </w:rPr>
        <w:t>这些</w:t>
      </w:r>
      <w:r>
        <w:rPr>
          <w:spacing w:val="-2"/>
        </w:rPr>
        <w:t>更改后，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重置</w:t>
      </w:r>
      <w:r>
        <w:t>设备</w:t>
      </w:r>
      <w:r>
        <w:rPr>
          <w:spacing w:val="-2"/>
        </w:rPr>
        <w:t>的</w:t>
      </w:r>
      <w:r>
        <w:rPr>
          <w:spacing w:val="-2"/>
        </w:rPr>
        <w:t>提示</w:t>
      </w:r>
      <w:r>
        <w:t>，选择</w:t>
      </w:r>
      <w:r>
        <w:rPr>
          <w:b/>
        </w:rPr>
        <w:t>是</w:t>
      </w:r>
      <w:r>
        <w:t>。</w:t>
      </w:r>
    </w:p>
    <w:p>
      <w:pPr>
        <w:pStyle w:val="P68B1DB1-Heading211"/>
        <w:spacing w:before="232"/>
      </w:pPr>
      <w:r>
        <w:rPr>
          <w:w w:val="105"/>
        </w:rPr>
        <w:t>警报</w:t>
      </w:r>
      <w:r>
        <w:rPr>
          <w:spacing w:val="-2"/>
          <w:w w:val="110"/>
        </w:rPr>
        <w:t>设置</w:t>
      </w:r>
    </w:p>
    <w:p>
      <w:pPr>
        <w:pStyle w:val="P68B1DB1-BodyText10"/>
        <w:spacing w:before="97"/>
        <w:ind w:left="720"/>
      </w:pPr>
      <w:r>
        <w:rPr>
          <w:spacing w:val="-2"/>
        </w:rPr>
        <w:t>要更改闹钟设置：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0" w:hanging="288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1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P68B1DB1-ListParagraph13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按下</w:t>
      </w:r>
      <w:r>
        <w:rPr>
          <w:spacing w:val="-5"/>
        </w:rPr>
        <w:t>“</w:t>
      </w:r>
      <w:r>
        <w:rPr>
          <w:b/>
        </w:rPr>
        <w:t>更改</w:t>
      </w:r>
      <w:r>
        <w:rPr>
          <w:b/>
          <w:spacing w:val="-5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102" w:after="0"/>
        <w:ind w:left="1008" w:right="300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272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</w:t>
      </w:r>
      <w:r>
        <w:t>或</w:t>
      </w:r>
      <w:r>
        <w:t>警告，请</w:t>
      </w:r>
      <w:r>
        <w:t>按</w:t>
      </w:r>
      <w:r>
        <w:rPr>
          <w:b/>
        </w:rPr>
        <w:t>清除</w:t>
      </w:r>
      <w:r>
        <w:rPr>
          <w:b/>
        </w:rPr>
        <w:t>报警</w:t>
      </w:r>
      <w:r>
        <w:t>或</w:t>
      </w:r>
      <w:r>
        <w:rPr>
          <w:b/>
        </w:rPr>
        <w:t>清除</w:t>
      </w:r>
      <w:r>
        <w:rPr>
          <w:b/>
        </w:rPr>
        <w:t>警告</w:t>
      </w:r>
      <w:r>
        <w:rPr>
          <w:spacing w:val="-2"/>
        </w:rPr>
        <w:t>按钮。</w:t>
      </w:r>
    </w:p>
    <w:p>
      <w:pPr>
        <w:pStyle w:val="P68B1DB1-ListParagraph13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213" w:hanging="288"/>
        <w:jc w:val="left"/>
        <w:rPr>
          <w:sz w:val="22"/>
        </w:rPr>
      </w:pPr>
      <w:r>
        <w:rPr>
          <w:spacing w:val="-2"/>
        </w:rPr>
        <w:t>要</w:t>
      </w:r>
      <w:r>
        <w:rPr>
          <w:spacing w:val="-2"/>
        </w:rPr>
        <w:t>设置</w:t>
      </w:r>
      <w:r>
        <w:rPr>
          <w:spacing w:val="-2"/>
        </w:rPr>
        <w:t>报警</w:t>
      </w:r>
      <w:r>
        <w:rPr>
          <w:spacing w:val="-2"/>
        </w:rPr>
        <w:t>延迟，请</w:t>
      </w:r>
      <w:r>
        <w:rPr>
          <w:spacing w:val="-2"/>
        </w:rPr>
        <w:t>在</w:t>
      </w:r>
      <w:r>
        <w:rPr>
          <w:b/>
        </w:rPr>
        <w:t>报警延迟</w:t>
      </w:r>
      <w:r>
        <w:t>框中</w:t>
      </w:r>
      <w:r>
        <w:rPr>
          <w:spacing w:val="-2"/>
        </w:rPr>
        <w:t>输入</w:t>
      </w:r>
      <w:r>
        <w:rPr>
          <w:spacing w:val="-2"/>
        </w:rPr>
        <w:t>持续</w:t>
      </w:r>
      <w:r>
        <w:rPr>
          <w:spacing w:val="-2"/>
        </w:rPr>
        <w:t>时间</w:t>
      </w:r>
      <w:r>
        <w:t>，在该</w:t>
      </w:r>
    </w:p>
    <w:p>
      <w:pPr>
        <w:pStyle w:val="Heading2"/>
        <w:ind w:left="444"/>
      </w:pPr>
      <w:r>
        <w:rPr>
          <w:b w:val="0"/>
        </w:rPr>
        <w:br w:type="column"/>
      </w:r>
      <w:r>
        <w:rPr>
          <w:color w:val="A93F53"/>
          <w:spacing w:val="-2"/>
          <w:w w:val="110"/>
        </w:rPr>
        <w:t>触发</w:t>
      </w:r>
      <w:r>
        <w:rPr>
          <w:color w:val="A93F53"/>
          <w:spacing w:val="-2"/>
          <w:w w:val="110"/>
        </w:rPr>
        <w:t>设置</w:t>
      </w:r>
    </w:p>
    <w:p>
      <w:pPr>
        <w:pStyle w:val="P68B1DB1-BodyText10"/>
        <w:spacing w:line="249" w:lineRule="auto" w:before="96"/>
        <w:ind w:left="444" w:right="277"/>
      </w:pPr>
      <w:r>
        <w:t>该设备可以被编程为仅基于用户配置的触发设置进行记录</w:t>
      </w:r>
    </w:p>
    <w:p>
      <w:pPr>
        <w:pStyle w:val="P68B1DB1-ListParagraph13"/>
        <w:numPr>
          <w:ilvl w:val="0"/>
          <w:numId w:val="4"/>
        </w:numPr>
        <w:tabs>
          <w:tab w:pos="732" w:val="left" w:leader="none"/>
        </w:tabs>
        <w:spacing w:line="249" w:lineRule="auto" w:before="92" w:after="0"/>
        <w:ind w:left="732" w:right="744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4"/>
        </w:rPr>
        <w:t>的</w:t>
      </w:r>
      <w:r>
        <w:rPr>
          <w:b/>
        </w:rPr>
        <w:t>设备</w:t>
      </w:r>
      <w:r>
        <w:rPr>
          <w:b/>
          <w:spacing w:val="-4"/>
        </w:rPr>
        <w:t>”</w:t>
      </w:r>
      <w:r>
        <w:t>面板中，</w:t>
      </w:r>
      <w:r>
        <w:t>单击</w:t>
      </w:r>
      <w:r>
        <w:rPr>
          <w:spacing w:val="-4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P68B1DB1-ListParagraph13"/>
        <w:numPr>
          <w:ilvl w:val="0"/>
          <w:numId w:val="4"/>
        </w:numPr>
        <w:tabs>
          <w:tab w:pos="732" w:val="left" w:leader="none"/>
        </w:tabs>
        <w:spacing w:line="249" w:lineRule="auto" w:before="91" w:after="0"/>
        <w:ind w:left="732" w:right="449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</w:t>
      </w:r>
      <w:r>
        <w:t>用户还可以右键单击设备并在上下文菜单中选择</w:t>
      </w:r>
      <w:r>
        <w:rPr>
          <w:b/>
        </w:rPr>
        <w:t>属性</w:t>
      </w:r>
    </w:p>
    <w:p>
      <w:pPr>
        <w:pStyle w:val="P68B1DB1-ListParagraph13"/>
        <w:numPr>
          <w:ilvl w:val="0"/>
          <w:numId w:val="4"/>
        </w:numPr>
        <w:tabs>
          <w:tab w:pos="732" w:val="left" w:leader="none"/>
        </w:tabs>
        <w:spacing w:line="249" w:lineRule="auto" w:before="92" w:after="0"/>
        <w:ind w:left="732" w:right="619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设备</w:t>
      </w:r>
      <w:r>
        <w:rPr>
          <w:spacing w:val="-2"/>
        </w:rPr>
        <w:t>菜单</w:t>
      </w:r>
      <w:r>
        <w:rPr>
          <w:spacing w:val="-2"/>
        </w:rPr>
        <w:t>中</w:t>
      </w:r>
      <w:r>
        <w:rPr>
          <w:spacing w:val="-2"/>
        </w:rPr>
        <w:t>选择</w:t>
      </w:r>
      <w:r>
        <w:rPr>
          <w:spacing w:val="-2"/>
        </w:rPr>
        <w:t>触发</w:t>
      </w:r>
      <w:r>
        <w:rPr>
          <w:spacing w:val="-2"/>
        </w:rPr>
        <w:t>设置</w:t>
      </w:r>
      <w:r>
        <w:t>：</w:t>
      </w:r>
      <w:r>
        <w:rPr>
          <w:spacing w:val="-2"/>
        </w:rPr>
        <w:t>启动</w:t>
      </w:r>
      <w:r>
        <w:t>设备或识别设备并读取状态。</w:t>
      </w:r>
    </w:p>
    <w:p>
      <w:pPr>
        <w:spacing w:before="70"/>
        <w:ind w:left="444" w:right="277" w:firstLine="0"/>
        <w:jc w:val="left"/>
        <w:rPr>
          <w:i/>
          <w:sz w:val="18"/>
        </w:rPr>
        <w:pStyle w:val="P68B1DB1-Normal14"/>
      </w:pPr>
      <w:r>
        <w:rPr>
          <w:b/>
        </w:rPr>
        <w:t>注意：</w:t>
      </w:r>
      <w:r>
        <w:t>触发</w:t>
      </w:r>
      <w:r>
        <w:t>格式</w:t>
      </w:r>
      <w:r>
        <w:t>在</w:t>
      </w:r>
      <w:r>
        <w:t>窗口</w:t>
      </w:r>
      <w:r>
        <w:t>和</w:t>
      </w:r>
      <w:r>
        <w:t>两</w:t>
      </w:r>
      <w:r>
        <w:t>点</w:t>
      </w:r>
      <w:r>
        <w:t>（双电平）</w:t>
      </w:r>
      <w:r>
        <w:rPr>
          <w:spacing w:val="-4"/>
        </w:rPr>
        <w:t>模式下可用。窗口允许一个温度监测范围，两</w:t>
      </w:r>
      <w:r>
        <w:t>点</w:t>
      </w:r>
      <w:r>
        <w:t>模式</w:t>
      </w:r>
      <w:r>
        <w:t>允许</w:t>
      </w:r>
      <w:r>
        <w:t>两</w:t>
      </w:r>
      <w:r>
        <w:rPr>
          <w:spacing w:val="-3"/>
        </w:rPr>
        <w:t>个</w:t>
      </w:r>
      <w:r>
        <w:t>温度</w:t>
      </w:r>
      <w:r>
        <w:t>监测范围。</w:t>
      </w:r>
    </w:p>
    <w:p>
      <w:pPr>
        <w:pStyle w:val="BodyText"/>
        <w:spacing w:before="33"/>
        <w:rPr>
          <w:i/>
          <w:sz w:val="18"/>
        </w:rPr>
      </w:pPr>
    </w:p>
    <w:p>
      <w:pPr>
        <w:pStyle w:val="P68B1DB1-Heading216"/>
        <w:spacing w:before="1"/>
        <w:ind w:left="444"/>
      </w:pPr>
      <w:r>
        <w:rPr>
          <w:spacing w:val="-2"/>
        </w:rPr>
        <w:t>设置密码</w:t>
      </w:r>
    </w:p>
    <w:p>
      <w:pPr>
        <w:pStyle w:val="P68B1DB1-BodyText10"/>
        <w:spacing w:line="249" w:lineRule="auto" w:before="96"/>
        <w:ind w:left="444" w:right="653"/>
      </w:pPr>
      <w:r>
        <w:t>要对设备进行密码保护，以便其他人无法启动、停止或重置设备：</w:t>
      </w:r>
    </w:p>
    <w:p>
      <w:pPr>
        <w:pStyle w:val="P68B1DB1-ListParagraph13"/>
        <w:numPr>
          <w:ilvl w:val="0"/>
          <w:numId w:val="5"/>
        </w:numPr>
        <w:tabs>
          <w:tab w:pos="730" w:val="left" w:leader="none"/>
        </w:tabs>
        <w:spacing w:line="240" w:lineRule="auto" w:before="91" w:after="0"/>
        <w:ind w:left="730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P68B1DB1-ListParagraph13"/>
        <w:numPr>
          <w:ilvl w:val="0"/>
          <w:numId w:val="5"/>
        </w:numPr>
        <w:tabs>
          <w:tab w:pos="732" w:val="left" w:leader="none"/>
        </w:tabs>
        <w:spacing w:line="249" w:lineRule="auto" w:before="101" w:after="0"/>
        <w:ind w:left="732" w:right="57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3"/>
        <w:numPr>
          <w:ilvl w:val="0"/>
          <w:numId w:val="5"/>
        </w:numPr>
        <w:tabs>
          <w:tab w:pos="731" w:val="left" w:leader="none"/>
        </w:tabs>
        <w:spacing w:line="240" w:lineRule="auto" w:before="93" w:after="0"/>
        <w:ind w:left="731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4"/>
        </w:rPr>
        <w:t>”</w:t>
      </w:r>
      <w:r>
        <w:t>选项卡上，</w:t>
      </w:r>
      <w:r>
        <w:t>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3"/>
        <w:numPr>
          <w:ilvl w:val="0"/>
          <w:numId w:val="5"/>
        </w:numPr>
        <w:tabs>
          <w:tab w:pos="732" w:val="left" w:leader="none"/>
        </w:tabs>
        <w:spacing w:line="256" w:lineRule="auto" w:before="101" w:after="0"/>
        <w:ind w:left="732" w:right="91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2"/>
        <w:spacing w:before="224"/>
        <w:ind w:left="444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4029075</wp:posOffset>
                </wp:positionH>
                <wp:positionV relativeFrom="paragraph">
                  <wp:posOffset>395669</wp:posOffset>
                </wp:positionV>
                <wp:extent cx="631190" cy="1377950"/>
                <wp:effectExtent l="0" t="0" r="0" b="0"/>
                <wp:wrapNone/>
                <wp:docPr id="35" name="组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组35"/>
                      <wpg:cNvGrpSpPr/>
                      <wpg:grpSpPr>
                        <a:xfrm>
                          <a:off x="0" y="0"/>
                          <a:ext cx="631190" cy="1377950"/>
                          <a:chExt cx="631190" cy="1377950"/>
                        </a:xfrm>
                      </wpg:grpSpPr>
                      <wps:wsp>
                        <wps:cNvPr id="36" name="图36"/>
                        <wps:cNvSpPr/>
                        <wps:spPr>
                          <a:xfrm>
                            <a:off x="0" y="0"/>
                            <a:ext cx="63119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37795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975"/>
                                </a:lnTo>
                                <a:lnTo>
                                  <a:pt x="0" y="1377950"/>
                                </a:lnTo>
                                <a:lnTo>
                                  <a:pt x="630936" y="1377950"/>
                                </a:lnTo>
                                <a:lnTo>
                                  <a:pt x="630936" y="688975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134365" y="284162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134365" y="284162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134365" y="973137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134365" y="973137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10"/>
        </w:rPr>
        <w:t>LED</w:t>
      </w:r>
      <w:r>
        <w:rPr>
          <w:color w:val="A93F53"/>
          <w:spacing w:val="-2"/>
          <w:w w:val="110"/>
        </w:rPr>
        <w:t>指示灯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</w:tblGrid>
      <w:tr>
        <w:trPr>
          <w:trHeight w:val="1082" w:hRule="atLeast"/>
        </w:trPr>
        <w:tc>
          <w:tcPr>
            <w:tcW w:w="4181" w:type="dxa"/>
            <w:tcBorders>
              <w:bottom w:val="single" w:sz="2" w:space="0" w:color="A93F53"/>
            </w:tcBorders>
          </w:tcPr>
          <w:p>
            <w:pPr>
              <w:pStyle w:val="TableParagraph"/>
              <w:spacing w:line="249" w:lineRule="auto" w:before="135"/>
              <w:ind w:left="180" w:right="328"/>
              <w:rPr>
                <w:sz w:val="22"/>
              </w:rPr>
            </w:pPr>
            <w:r>
              <w:rPr>
                <w:b/>
                <w:color w:val="A93F53"/>
              </w:rPr>
              <w:t>绿色LED闪烁：</w:t>
            </w:r>
            <w:r>
              <w:rPr>
                <w:color w:val="231F20"/>
              </w:rPr>
              <w:t>10秒表示记录，15秒表示延迟启动模式。</w:t>
            </w:r>
          </w:p>
        </w:tc>
      </w:tr>
      <w:tr>
        <w:trPr>
          <w:trHeight w:val="1082" w:hRule="atLeast"/>
        </w:trPr>
        <w:tc>
          <w:tcPr>
            <w:tcW w:w="4181" w:type="dxa"/>
            <w:tcBorders>
              <w:top w:val="single" w:sz="2" w:space="0" w:color="A93F53"/>
            </w:tcBorders>
          </w:tcPr>
          <w:p>
            <w:pPr>
              <w:pStyle w:val="TableParagraph"/>
              <w:spacing w:line="249" w:lineRule="auto" w:before="133"/>
              <w:ind w:left="180" w:right="328"/>
              <w:rPr>
                <w:sz w:val="22"/>
              </w:rPr>
            </w:pPr>
            <w:r>
              <w:rPr>
                <w:b/>
                <w:color w:val="A93F53"/>
              </w:rPr>
              <w:t>红色LED闪烁：</w:t>
            </w:r>
            <w:r>
              <w:rPr>
                <w:color w:val="231F20"/>
              </w:rPr>
              <w:t>10秒表示电池和/或内存不足，1秒表示报警状态。</w:t>
            </w:r>
          </w:p>
        </w:tc>
      </w:tr>
    </w:tbl>
    <w:p>
      <w:pPr>
        <w:pStyle w:val="BodyText"/>
        <w:spacing w:before="109"/>
        <w:rPr>
          <w:b/>
          <w:sz w:val="24"/>
        </w:rPr>
      </w:pPr>
    </w:p>
    <w:p>
      <w:pPr>
        <w:spacing w:before="0"/>
        <w:ind w:left="444" w:right="0" w:firstLine="0"/>
        <w:jc w:val="left"/>
        <w:rPr>
          <w:b/>
          <w:sz w:val="24"/>
        </w:rPr>
        <w:pStyle w:val="P68B1DB1-Normal17"/>
      </w:pPr>
      <w:r>
        <w:t>多重启动/停止模式</w:t>
      </w:r>
      <w:r>
        <w:rPr>
          <w:spacing w:val="-2"/>
        </w:rPr>
        <w:t>激活</w:t>
      </w:r>
    </w:p>
    <w:p>
      <w:pPr>
        <w:pStyle w:val="ListParagraph"/>
        <w:numPr>
          <w:ilvl w:val="1"/>
          <w:numId w:val="5"/>
        </w:numPr>
        <w:tabs>
          <w:tab w:pos="623" w:val="left" w:leader="none"/>
        </w:tabs>
        <w:spacing w:line="240" w:lineRule="auto" w:before="96" w:after="0"/>
        <w:ind w:left="623" w:right="0" w:hanging="179"/>
        <w:jc w:val="left"/>
        <w:rPr>
          <w:sz w:val="22"/>
        </w:rPr>
      </w:pPr>
      <w:r>
        <w:rPr>
          <w:b/>
          <w:color w:val="A93F53"/>
        </w:rPr>
        <w:t>要启动设备：</w:t>
      </w:r>
      <w:r>
        <w:rPr>
          <w:color w:val="231F20"/>
        </w:rPr>
        <w:t>长按屏幕上</w:t>
      </w:r>
      <w:r>
        <w:rPr>
          <w:color w:val="231F20"/>
          <w:spacing w:val="-5"/>
        </w:rPr>
        <w:t>的</w:t>
      </w:r>
    </w:p>
    <w:p>
      <w:pPr>
        <w:pStyle w:val="P68B1DB1-BodyText10"/>
        <w:spacing w:line="249" w:lineRule="auto" w:before="12"/>
        <w:ind w:left="624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1"/>
          <w:numId w:val="5"/>
        </w:numPr>
        <w:tabs>
          <w:tab w:pos="624" w:val="left" w:leader="none"/>
        </w:tabs>
        <w:spacing w:line="249" w:lineRule="auto" w:before="91" w:after="0"/>
        <w:ind w:left="624" w:right="356" w:hanging="180"/>
        <w:jc w:val="left"/>
        <w:rPr>
          <w:sz w:val="22"/>
        </w:rPr>
      </w:pPr>
      <w:r>
        <w:rPr>
          <w:b/>
          <w:color w:val="A93F53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6" w:top="1220" w:bottom="280" w:left="0" w:right="540"/>
          <w:cols w:num="2" w:equalWidth="0">
            <w:col w:w="5861" w:space="40"/>
            <w:col w:w="57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9"/>
          <w:footerReference w:type="default" r:id="rId20"/>
          <w:pgSz w:w="12240" w:h="15840"/>
          <w:pgMar w:header="148" w:footer="0" w:top="460" w:bottom="280" w:left="0" w:right="540"/>
        </w:sectPr>
      </w:pPr>
    </w:p>
    <w:p>
      <w:pPr>
        <w:pStyle w:val="P68B1DB1-Heading19"/>
        <w:spacing w:before="141"/>
      </w:pPr>
      <w:r>
        <w:t>设备</w:t>
      </w:r>
      <w:r>
        <w:rPr>
          <w:spacing w:val="-2"/>
        </w:rPr>
        <w:t>维护</w:t>
      </w:r>
    </w:p>
    <w:p>
      <w:pPr>
        <w:pStyle w:val="P68B1DB1-Heading211"/>
        <w:spacing w:before="126"/>
      </w:pPr>
      <w:r>
        <w:rPr>
          <w:w w:val="105"/>
        </w:rPr>
        <w:t>电池</w:t>
      </w:r>
      <w:r>
        <w:rPr>
          <w:spacing w:val="-2"/>
          <w:w w:val="110"/>
        </w:rPr>
        <w:t>更换</w:t>
      </w:r>
    </w:p>
    <w:p>
      <w:pPr>
        <w:pStyle w:val="P68B1DB1-BodyText18"/>
        <w:spacing w:line="249" w:lineRule="auto" w:before="96"/>
        <w:ind w:left="720"/>
      </w:pPr>
      <w:r>
        <w:rPr>
          <w:spacing w:val="-2"/>
        </w:rPr>
        <w:t>材料：</w:t>
      </w:r>
      <w:r>
        <w:rPr>
          <w:spacing w:val="-2"/>
        </w:rPr>
        <w:t>小号</w:t>
      </w:r>
      <w:r>
        <w:rPr>
          <w:spacing w:val="-2"/>
        </w:rPr>
        <w:t>十字</w:t>
      </w:r>
      <w:r>
        <w:rPr>
          <w:spacing w:val="-2"/>
        </w:rPr>
        <w:t>头</w:t>
      </w:r>
      <w:r>
        <w:rPr>
          <w:spacing w:val="-2"/>
        </w:rPr>
        <w:t>螺丝刀</w:t>
      </w:r>
      <w:r>
        <w:rPr>
          <w:spacing w:val="-2"/>
        </w:rPr>
        <w:t>和</w:t>
      </w:r>
      <w:r>
        <w:t xml:space="preserve">备用电池（LTC-7 PN）</w:t>
      </w:r>
    </w:p>
    <w:p>
      <w:pPr>
        <w:pStyle w:val="P68B1DB1-ListParagraph13"/>
        <w:numPr>
          <w:ilvl w:val="0"/>
          <w:numId w:val="6"/>
        </w:numPr>
        <w:tabs>
          <w:tab w:pos="1008" w:val="left" w:leader="none"/>
        </w:tabs>
        <w:spacing w:line="249" w:lineRule="auto" w:before="91" w:after="0"/>
        <w:ind w:left="1008" w:right="94" w:hanging="288"/>
        <w:jc w:val="left"/>
        <w:rPr>
          <w:sz w:val="22"/>
        </w:rPr>
      </w:pPr>
      <w:r>
        <w:rPr>
          <w:spacing w:val="-2"/>
        </w:rPr>
        <w:t>用</w:t>
      </w:r>
      <w:r>
        <w:rPr>
          <w:spacing w:val="-2"/>
        </w:rPr>
        <w:t>螺丝</w:t>
      </w:r>
      <w:r>
        <w:t>刀</w:t>
      </w:r>
      <w:r>
        <w:rPr>
          <w:spacing w:val="-2"/>
        </w:rPr>
        <w:t>刺穿</w:t>
      </w:r>
      <w:r>
        <w:rPr>
          <w:spacing w:val="-2"/>
        </w:rPr>
        <w:t>背面</w:t>
      </w:r>
      <w:r>
        <w:rPr>
          <w:spacing w:val="-2"/>
        </w:rPr>
        <w:t>标签</w:t>
      </w:r>
      <w:r>
        <w:rPr>
          <w:spacing w:val="-2"/>
        </w:rPr>
        <w:t>的</w:t>
      </w:r>
      <w:r>
        <w:rPr>
          <w:spacing w:val="-2"/>
        </w:rPr>
        <w:t>中心</w:t>
      </w:r>
    </w:p>
    <w:p>
      <w:pPr>
        <w:pStyle w:val="P68B1DB1-ListParagraph13"/>
        <w:numPr>
          <w:ilvl w:val="0"/>
          <w:numId w:val="6"/>
        </w:numPr>
        <w:tabs>
          <w:tab w:pos="1008" w:val="left" w:leader="none"/>
        </w:tabs>
        <w:spacing w:line="249" w:lineRule="auto" w:before="92" w:after="0"/>
        <w:ind w:left="1008" w:right="0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3"/>
        <w:numPr>
          <w:ilvl w:val="0"/>
          <w:numId w:val="6"/>
        </w:numPr>
        <w:tabs>
          <w:tab w:pos="1008" w:val="left" w:leader="none"/>
        </w:tabs>
        <w:spacing w:line="249" w:lineRule="auto" w:before="91" w:after="0"/>
        <w:ind w:left="1008" w:right="54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P68B1DB1-ListParagraph13"/>
        <w:numPr>
          <w:ilvl w:val="0"/>
          <w:numId w:val="6"/>
        </w:numPr>
        <w:tabs>
          <w:tab w:pos="1007" w:val="left" w:leader="none"/>
        </w:tabs>
        <w:spacing w:line="240" w:lineRule="auto" w:before="91" w:after="0"/>
        <w:ind w:left="1007" w:right="0" w:hanging="287"/>
        <w:jc w:val="left"/>
        <w:rPr>
          <w:sz w:val="22"/>
        </w:rPr>
      </w:pPr>
      <w:r>
        <w:rPr>
          <w:spacing w:val="-2"/>
        </w:rPr>
        <w:t>将存储模块牢固地拧回。</w:t>
      </w:r>
    </w:p>
    <w:p>
      <w:pPr>
        <w:spacing w:before="80"/>
        <w:ind w:left="720" w:right="0" w:firstLine="0"/>
        <w:jc w:val="left"/>
        <w:rPr>
          <w:i/>
          <w:sz w:val="18"/>
        </w:rPr>
        <w:pStyle w:val="P68B1DB1-Normal14"/>
      </w:pPr>
      <w:r>
        <w:rPr>
          <w:b/>
          <w:spacing w:val="-4"/>
        </w:rPr>
        <w:t>注意：</w:t>
      </w:r>
      <w:r>
        <w:rPr>
          <w:spacing w:val="-4"/>
        </w:rPr>
        <w:t>请务必不要过度拧紧螺钉或剥离螺纹。</w:t>
      </w:r>
    </w:p>
    <w:p>
      <w:pPr>
        <w:pStyle w:val="Heading2"/>
        <w:spacing w:before="157"/>
        <w:ind w:left="622"/>
      </w:pPr>
      <w:r>
        <w:rPr>
          <w:b w:val="0"/>
        </w:rPr>
        <w:br w:type="column"/>
      </w:r>
      <w:r>
        <w:rPr>
          <w:color w:val="A93F53"/>
          <w:spacing w:val="-2"/>
          <w:w w:val="110"/>
        </w:rPr>
        <w:t>重新校准</w:t>
      </w:r>
    </w:p>
    <w:p>
      <w:pPr>
        <w:pStyle w:val="BodyText"/>
        <w:spacing w:line="249" w:lineRule="auto" w:before="96"/>
        <w:ind w:left="622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r>
        <w:rPr>
          <w:b/>
          <w:color w:val="A93F53"/>
        </w:rPr>
        <w:t>madgetech.com</w:t>
      </w:r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0" w:right="540"/>
          <w:cols w:num="2" w:equalWidth="0">
            <w:col w:w="5683" w:space="40"/>
            <w:col w:w="5977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2" name="组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组42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43" name="图43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文本框44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9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5815723</wp:posOffset>
            </wp:positionH>
            <wp:positionV relativeFrom="page">
              <wp:posOffset>8821801</wp:posOffset>
            </wp:positionV>
            <wp:extent cx="166868" cy="65341"/>
            <wp:effectExtent l="0" t="0" r="0" b="0"/>
            <wp:wrapNone/>
            <wp:docPr id="45" name="图像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图像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6418872</wp:posOffset>
            </wp:positionH>
            <wp:positionV relativeFrom="page">
              <wp:posOffset>8821801</wp:posOffset>
            </wp:positionV>
            <wp:extent cx="296269" cy="65341"/>
            <wp:effectExtent l="0" t="0" r="0" b="0"/>
            <wp:wrapNone/>
            <wp:docPr id="46" name="图像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图像4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P68B1DB1-BodyText20"/>
        <w:spacing w:line="20" w:lineRule="exact"/>
        <w:ind w:left="72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47" name="组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组47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48" name="图形48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182"/>
        <w:rPr>
          <w:sz w:val="32"/>
        </w:rPr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505485</wp:posOffset>
                </wp:positionH>
                <wp:positionV relativeFrom="paragraph">
                  <wp:posOffset>66658</wp:posOffset>
                </wp:positionV>
                <wp:extent cx="362585" cy="558165"/>
                <wp:effectExtent l="0" t="0" r="0" b="0"/>
                <wp:wrapNone/>
                <wp:docPr id="49" name="图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图49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96"/>
                              </a:moveTo>
                              <a:lnTo>
                                <a:pt x="222415" y="501650"/>
                              </a:lnTo>
                              <a:lnTo>
                                <a:pt x="143700" y="501650"/>
                              </a:lnTo>
                              <a:lnTo>
                                <a:pt x="139915" y="501650"/>
                              </a:lnTo>
                              <a:lnTo>
                                <a:pt x="136829" y="504596"/>
                              </a:lnTo>
                              <a:lnTo>
                                <a:pt x="136829" y="511797"/>
                              </a:lnTo>
                              <a:lnTo>
                                <a:pt x="139915" y="514718"/>
                              </a:lnTo>
                              <a:lnTo>
                                <a:pt x="222415" y="514718"/>
                              </a:lnTo>
                              <a:lnTo>
                                <a:pt x="225526" y="511797"/>
                              </a:lnTo>
                              <a:lnTo>
                                <a:pt x="225526" y="504596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r>
        <w:rPr>
          <w:b/>
          <w:color w:val="A93F53"/>
          <w:spacing w:val="-2"/>
        </w:rPr>
        <w:t>madgetech.com/resources</w:t>
      </w:r>
      <w:r>
        <w:rPr>
          <w:color w:val="231F20"/>
          <w:spacing w:val="-2"/>
        </w:rPr>
        <w:t>。</w:t>
      </w:r>
    </w:p>
    <w:p>
      <w:pPr>
        <w:pStyle w:val="BodyText"/>
        <w:spacing w:before="335"/>
        <w:rPr>
          <w:sz w:val="32"/>
        </w:rPr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457200</wp:posOffset>
                </wp:positionH>
                <wp:positionV relativeFrom="paragraph">
                  <wp:posOffset>68815</wp:posOffset>
                </wp:positionV>
                <wp:extent cx="459105" cy="558165"/>
                <wp:effectExtent l="0" t="0" r="0" b="0"/>
                <wp:wrapNone/>
                <wp:docPr id="50" name="组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组50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1" name="图51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 xml:space="preserve">MadgeTech 4软件</w:t>
      </w:r>
      <w:r>
        <w:rPr>
          <w:color w:val="A93F53"/>
          <w:spacing w:val="-2"/>
          <w:w w:val="105"/>
        </w:rPr>
        <w:t>支持：</w:t>
      </w:r>
    </w:p>
    <w:p>
      <w:pPr>
        <w:pStyle w:val="P68B1DB1-ListParagraph13"/>
        <w:numPr>
          <w:ilvl w:val="1"/>
          <w:numId w:val="6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r>
        <w:rPr>
          <w:b/>
          <w:color w:val="A93F53"/>
          <w:spacing w:val="-4"/>
        </w:rPr>
        <w:t>madgetech.com</w:t>
      </w:r>
      <w:r>
        <w:rPr>
          <w:color w:val="231F20"/>
          <w:spacing w:val="-4"/>
        </w:rPr>
        <w:t xml:space="preserve">下载MadgeTech 4软件手册。</w:t>
      </w:r>
    </w:p>
    <w:p>
      <w:pPr>
        <w:spacing w:before="102"/>
        <w:ind w:left="10180" w:right="0" w:firstLine="0"/>
        <w:jc w:val="left"/>
        <w:rPr>
          <w:sz w:val="22"/>
        </w:rPr>
        <w:pStyle w:val="P68B1DB1-Normal21"/>
      </w:pPr>
      <w: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5064074</wp:posOffset>
                </wp:positionH>
                <wp:positionV relativeFrom="paragraph">
                  <wp:posOffset>184286</wp:posOffset>
                </wp:positionV>
                <wp:extent cx="2251710" cy="430530"/>
                <wp:effectExtent l="0" t="0" r="0" b="0"/>
                <wp:wrapTopAndBottom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7" name="图形57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图像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图形64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267"/>
        <w:ind w:left="662" w:right="0" w:firstLine="0"/>
        <w:jc w:val="left"/>
        <w:rPr>
          <w:rFonts w:ascii="Arial" w:hAnsi="Arial"/>
          <w:sz w:val="24"/>
        </w:rPr>
        <w:pStyle w:val="P68B1DB1-Normal22"/>
      </w:pPr>
      <w:r>
        <w:t xml:space="preserve">■电话：+86 755-8420 0058 ■传真：+86 755-2822 5583 ■</w:t>
      </w:r>
      <w:hyperlink r:id="rId28">
        <w:r>
          <w:t>E-mail:sales@eofirm.com</w:t>
        </w:r>
      </w:hyperlink>
      <w:r>
        <w:rPr>
          <w:spacing w:val="-2"/>
        </w:rPr>
        <w:t>■</w:t>
      </w:r>
      <w:hyperlink r:id="rId29">
        <w:r>
          <w:rPr>
            <w:spacing w:val="-2"/>
          </w:rPr>
          <w:t>http://www.eofirm.com</w:t>
        </w:r>
      </w:hyperlink>
    </w:p>
    <w:sectPr>
      <w:type w:val="continuous"/>
      <w:pgSz w:w="12240" w:h="15840"/>
      <w:pgMar w:header="148" w:footer="0" w:top="1220" w:bottom="280" w:left="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6233929</wp:posOffset>
              </wp:positionH>
              <wp:positionV relativeFrom="page">
                <wp:posOffset>9705657</wp:posOffset>
              </wp:positionV>
              <wp:extent cx="1132205" cy="166370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32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4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3"/>
                          </w:pPr>
                          <w:r>
                            <w:t>TC101a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516890" cy="233045"/>
              <wp:effectExtent l="0" t="0" r="0" b="0"/>
              <wp:wrapNone/>
              <wp:docPr id="41" name="文本框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文本框41"/>
                    <wps:cNvSpPr txBox="1"/>
                    <wps:spPr>
                      <a:xfrm>
                        <a:off x="0" y="0"/>
                        <a:ext cx="51689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3"/>
                          </w:pPr>
                          <w:r>
                            <w:t>TC101a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3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3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5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2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1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3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5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08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15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100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w w:val="105"/>
      <w:sz w:val="28"/>
    </w:rPr>
  </w:style>
  <w:style w:type="paragraph" w:styleId="P68B1DB1-TableParagraph4">
    <w:name w:val="P68B1DB1-TableParagraph4"/>
    <w:basedOn w:val="TableParagraph"/>
    <w:rPr>
      <w:b/>
      <w:color w:val="A93F53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A93F53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A93F53"/>
      <w:w w:val="105"/>
      <w:sz w:val="24"/>
    </w:rPr>
  </w:style>
  <w:style w:type="paragraph" w:styleId="P68B1DB1-TableParagraph7">
    <w:name w:val="P68B1DB1-TableParagraph7"/>
    <w:basedOn w:val="TableParagraph"/>
    <w:rPr>
      <w:color w:val="A93F53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19">
    <w:name w:val="P68B1DB1-Heading19"/>
    <w:basedOn w:val="Heading1"/>
    <w:rPr>
      <w:color w:val="A93F53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211">
    <w:name w:val="P68B1DB1-Heading211"/>
    <w:basedOn w:val="Heading2"/>
    <w:rPr>
      <w:color w:val="A93F53"/>
    </w:rPr>
  </w:style>
  <w:style w:type="paragraph" w:styleId="P68B1DB1-Normal12">
    <w:name w:val="P68B1DB1-Normal12"/>
    <w:basedOn w:val="Normal"/>
    <w:rPr>
      <w:color w:val="231F20"/>
    </w:rPr>
  </w:style>
  <w:style w:type="paragraph" w:styleId="P68B1DB1-ListParagraph13">
    <w:name w:val="P68B1DB1-ListParagraph13"/>
    <w:basedOn w:val="ListParagraph"/>
    <w:rPr>
      <w:color w:val="231F20"/>
    </w:rPr>
  </w:style>
  <w:style w:type="paragraph" w:styleId="P68B1DB1-Normal14">
    <w:name w:val="P68B1DB1-Normal14"/>
    <w:basedOn w:val="Normal"/>
    <w:rPr>
      <w:i/>
      <w:color w:val="231F20"/>
      <w:sz w:val="18"/>
    </w:rPr>
  </w:style>
  <w:style w:type="paragraph" w:styleId="P68B1DB1-Heading215">
    <w:name w:val="P68B1DB1-Heading215"/>
    <w:basedOn w:val="Heading2"/>
    <w:rPr>
      <w:color w:val="A93F53"/>
      <w:w w:val="105"/>
    </w:rPr>
  </w:style>
  <w:style w:type="paragraph" w:styleId="P68B1DB1-Heading216">
    <w:name w:val="P68B1DB1-Heading216"/>
    <w:basedOn w:val="Heading2"/>
    <w:rPr>
      <w:color w:val="A93F53"/>
      <w:w w:val="110"/>
    </w:rPr>
  </w:style>
  <w:style w:type="paragraph" w:styleId="P68B1DB1-Normal17">
    <w:name w:val="P68B1DB1-Normal17"/>
    <w:basedOn w:val="Normal"/>
    <w:rPr>
      <w:b/>
      <w:color w:val="A93F53"/>
      <w:sz w:val="24"/>
    </w:rPr>
  </w:style>
  <w:style w:type="paragraph" w:styleId="P68B1DB1-BodyText18">
    <w:name w:val="P68B1DB1-BodyText18"/>
    <w:basedOn w:val="BodyText"/>
    <w:rPr>
      <w:color w:val="A93F53"/>
      <w:w w:val="105"/>
    </w:rPr>
  </w:style>
  <w:style w:type="paragraph" w:styleId="P68B1DB1-Normal19">
    <w:name w:val="P68B1DB1-Normal19"/>
    <w:basedOn w:val="Normal"/>
    <w:rPr>
      <w:color w:val="FFFFFF"/>
      <w:sz w:val="48"/>
    </w:rPr>
  </w:style>
  <w:style w:type="paragraph" w:styleId="P68B1DB1-BodyText20">
    <w:name w:val="P68B1DB1-BodyText20"/>
    <w:basedOn w:val="BodyText"/>
    <w:rPr>
      <w:sz w:val="2"/>
    </w:rPr>
  </w:style>
  <w:style w:type="paragraph" w:styleId="P68B1DB1-Normal21">
    <w:name w:val="P68B1DB1-Normal21"/>
    <w:basedOn w:val="Normal"/>
    <w:rPr>
      <w:color w:val="231F20"/>
      <w:spacing w:val="-10"/>
      <w:w w:val="95"/>
    </w:rPr>
  </w:style>
  <w:style w:type="paragraph" w:styleId="P68B1DB1-Normal22">
    <w:name w:val="P68B1DB1-Normal22"/>
    <w:basedOn w:val="Normal"/>
    <w:rPr>
      <w:rFonts w:ascii="Arial" w:hAnsi="Arial"/>
      <w:sz w:val="24"/>
    </w:rPr>
  </w:style>
  <w:style w:type="paragraph" w:styleId="P68B1DB1-Normal23">
    <w:name w:val="P68B1DB1-Normal23"/>
    <w:basedOn w:val="Normal"/>
    <w:rPr>
      <w:color w:val="A93F53"/>
      <w:spacing w:val="-2"/>
      <w:w w:val="105"/>
      <w:sz w:val="24"/>
    </w:rPr>
  </w:style>
  <w:style w:type="paragraph" w:styleId="P68B1DB1-Normal24">
    <w:name w:val="P68B1DB1-Normal24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hyperlink" Target="mailto:sales@eofirm.com" TargetMode="External"/><Relationship Id="rId29" Type="http://schemas.openxmlformats.org/officeDocument/2006/relationships/hyperlink" Target="http://www.eofirm.com/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2024-11-11T08:14:08Z</dcterms:created>
  <dcterms:modified xsi:type="dcterms:W3CDTF">2024-11-11T08:14:08Z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</Properties>
</file>