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4"/>
        <w:rPr>
          <w:rFonts w:ascii="Times New Roman"/>
          <w:sz w:val="60"/>
        </w:rPr>
      </w:pPr>
    </w:p>
    <w:p>
      <w:pPr>
        <w:pStyle w:val="P68B1DB1-Title1"/>
      </w:pPr>
      <w:r>
        <w:t>RHTemp1000Ex</w:t>
      </w:r>
    </w:p>
    <w:p>
      <w:pPr>
        <w:spacing w:line="184" w:lineRule="auto" w:before="61"/>
        <w:ind w:left="130" w:right="4674" w:firstLine="0"/>
        <w:jc w:val="left"/>
        <w:rPr>
          <w:sz w:val="36"/>
        </w:rPr>
        <w:pStyle w:val="P68B1DB1-Normal2"/>
      </w:pPr>
      <w:r>
        <w:t>内置安全湿度和温度数据记录器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spacing w:after="0"/>
        <w:sectPr>
          <w:type w:val="continuous"/>
          <w:pgSz w:w="12240" w:h="15840"/>
          <w:pgMar w:top="0" w:bottom="280" w:left="600" w:right="560"/>
        </w:sectPr>
      </w:pPr>
    </w:p>
    <w:p>
      <w:pPr>
        <w:pStyle w:val="P68B1DB1-BodyText3"/>
        <w:spacing w:line="295" w:lineRule="auto" w:before="109"/>
        <w:ind w:left="120" w:right="79"/>
      </w:pPr>
      <w:r>
        <w:t>新的RHTemp1000Ex是一款内部安全的湿度和温度数据记录器。</w:t>
      </w:r>
      <w:r>
        <w:rPr>
          <w:spacing w:val="-2"/>
        </w:rPr>
        <w:t xml:space="preserve">根据最新版本的IECEx 60079 - 0、IECEx 60079 - 11和指令2014/34/EU（称为ATEX），它具有危险场所本质安全认证。</w:t>
      </w:r>
    </w:p>
    <w:p>
      <w:pPr>
        <w:pStyle w:val="P68B1DB1-BodyText3"/>
        <w:spacing w:line="295" w:lineRule="auto" w:before="144"/>
        <w:ind w:left="120" w:right="79"/>
      </w:pPr>
      <w:r>
        <w:t>该设备可以直接从您的计算机启动和停止，其小巧，时尚的尺寸使其几乎适合任何地方。</w:t>
      </w:r>
      <w:r>
        <w:t>RHTemp1000Ex使数据检索快速简便。</w:t>
      </w:r>
      <w:r>
        <w:t xml:space="preserve">只需将设备插入IFC 400或IFC 406 USB扩展坞（单独出售），我们的用户友好型软件即可完成其余工作。</w:t>
      </w:r>
      <w:r>
        <w:t>RHTemp1000Ex的小尺寸使其能够放置在偏远或难以到达的位置。</w:t>
      </w:r>
      <w:r>
        <w:rPr>
          <w:spacing w:val="-9"/>
        </w:rPr>
        <w:t xml:space="preserve"> </w:t>
      </w:r>
      <w:r>
        <w:t>该</w:t>
      </w:r>
      <w:r>
        <w:t>设备具有</w:t>
      </w:r>
      <w:r>
        <w:t>电池</w:t>
      </w:r>
      <w:r>
        <w:t>寿命</w:t>
      </w:r>
      <w:r>
        <w:t>指示器</w:t>
      </w:r>
      <w:r>
        <w:rPr>
          <w:spacing w:val="-12"/>
        </w:rPr>
        <w:t>，</w:t>
      </w:r>
      <w:r>
        <w:t>允许</w:t>
      </w:r>
      <w:r>
        <w:t>用户</w:t>
      </w:r>
      <w:r>
        <w:t>轻松</w:t>
      </w:r>
      <w:r>
        <w:t>识别</w:t>
      </w:r>
      <w:r>
        <w:t>低</w:t>
      </w:r>
      <w:r>
        <w:t>电压</w:t>
      </w:r>
      <w:r>
        <w:t>并</w:t>
      </w:r>
      <w:r>
        <w:rPr>
          <w:spacing w:val="-12"/>
        </w:rPr>
        <w:t>在需要时</w:t>
      </w:r>
      <w:r>
        <w:t>更换</w:t>
      </w:r>
      <w:r>
        <w:rPr>
          <w:spacing w:val="-2"/>
        </w:rPr>
        <w:t>电池</w:t>
      </w:r>
      <w:r>
        <w:rPr>
          <w:spacing w:val="-2"/>
        </w:rPr>
        <w:t>。</w:t>
      </w:r>
      <w:r>
        <w:rPr>
          <w:spacing w:val="-2"/>
        </w:rPr>
        <w:t>此</w:t>
      </w:r>
      <w:r>
        <w:rPr>
          <w:spacing w:val="-2"/>
        </w:rPr>
        <w:t>功能</w:t>
      </w:r>
      <w:r>
        <w:rPr>
          <w:spacing w:val="-2"/>
        </w:rPr>
        <w:t>最大</w:t>
      </w:r>
      <w:r>
        <w:rPr>
          <w:spacing w:val="-2"/>
        </w:rPr>
        <w:t>限度地</w:t>
      </w:r>
      <w:r>
        <w:rPr>
          <w:spacing w:val="-2"/>
        </w:rPr>
        <w:t>利用</w:t>
      </w:r>
      <w:r>
        <w:rPr>
          <w:spacing w:val="-2"/>
        </w:rPr>
        <w:t>您</w:t>
      </w:r>
      <w:r>
        <w:rPr>
          <w:spacing w:val="-2"/>
        </w:rPr>
        <w:t>的</w:t>
      </w:r>
      <w:r>
        <w:rPr>
          <w:spacing w:val="-2"/>
        </w:rPr>
        <w:t>电池</w:t>
      </w:r>
      <w:r>
        <w:rPr>
          <w:spacing w:val="-2"/>
        </w:rPr>
        <w:t>寿命</w:t>
      </w:r>
      <w:r>
        <w:rPr>
          <w:spacing w:val="-2"/>
        </w:rPr>
        <w:t>，</w:t>
      </w:r>
      <w:r>
        <w:rPr>
          <w:spacing w:val="-2"/>
        </w:rPr>
        <w:t>是</w:t>
      </w:r>
      <w:r>
        <w:rPr>
          <w:spacing w:val="-2"/>
        </w:rPr>
        <w:t>一个</w:t>
      </w:r>
      <w:r>
        <w:t>节省</w:t>
      </w:r>
      <w:r>
        <w:rPr>
          <w:spacing w:val="-2"/>
        </w:rPr>
        <w:t>成本</w:t>
      </w:r>
      <w:r>
        <w:t>的效率。</w:t>
      </w:r>
    </w:p>
    <w:p>
      <w:pPr>
        <w:pStyle w:val="BodyText"/>
        <w:spacing w:line="295" w:lineRule="auto" w:before="141"/>
        <w:ind w:left="120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1241162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是</w:t>
      </w:r>
      <w:r>
        <w:rPr>
          <w:color w:val="231F20"/>
          <w:spacing w:val="-2"/>
        </w:rPr>
        <w:t>一</w:t>
      </w:r>
      <w:r>
        <w:rPr>
          <w:color w:val="231F20"/>
          <w:spacing w:val="-7"/>
        </w:rPr>
        <w:t>款</w:t>
      </w:r>
      <w:r>
        <w:rPr>
          <w:color w:val="231F20"/>
          <w:spacing w:val="-2"/>
        </w:rPr>
        <w:t>功能强大的</w:t>
      </w:r>
      <w:r>
        <w:rPr>
          <w:color w:val="231F20"/>
          <w:spacing w:val="-2"/>
        </w:rPr>
        <w:t>分析</w:t>
      </w:r>
      <w:r>
        <w:rPr>
          <w:color w:val="231F20"/>
          <w:spacing w:val="-2"/>
        </w:rPr>
        <w:t>工具，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</w:rPr>
        <w:t>我们的网站</w:t>
      </w:r>
      <w:r>
        <w:rPr>
          <w:b/>
          <w:color w:val="1A87C8"/>
        </w:rPr>
        <w:t>madgetech.com</w:t>
      </w:r>
      <w:r>
        <w:rPr>
          <w:color w:val="231F20"/>
        </w:rPr>
        <w:t>。数据可以以图形或表格格式查看，汇总和统计视图可用于进一步分析。</w:t>
      </w:r>
    </w:p>
    <w:p>
      <w:pPr>
        <w:pStyle w:val="BodyText"/>
        <w:spacing w:before="1"/>
        <w:rPr>
          <w:sz w:val="1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93763</wp:posOffset>
                </wp:positionV>
                <wp:extent cx="4495800" cy="1270"/>
                <wp:effectExtent l="0" t="0" r="0" b="0"/>
                <wp:wrapTopAndBottom/>
                <wp:docPr id="4" name="图形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图形4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A87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64"/>
        <w:ind w:left="105" w:right="0" w:firstLine="0"/>
        <w:jc w:val="left"/>
        <w:rPr>
          <w:rFonts w:ascii="Tahoma"/>
          <w:sz w:val="28"/>
        </w:rPr>
        <w:pStyle w:val="P68B1DB1-Normal4"/>
      </w:pPr>
      <w:r>
        <w:rPr>
          <w:spacing w:val="-4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4086694</wp:posOffset>
                </wp:positionH>
                <wp:positionV relativeFrom="paragraph">
                  <wp:posOffset>163880</wp:posOffset>
                </wp:positionV>
                <wp:extent cx="866775" cy="73215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31"/>
        <w:ind w:left="5827" w:right="0" w:firstLine="0"/>
        <w:jc w:val="center"/>
        <w:rPr>
          <w:rFonts w:ascii="Tahoma"/>
          <w:sz w:val="19"/>
        </w:rPr>
        <w:pStyle w:val="P68B1DB1-Normal5"/>
      </w:pPr>
      <w:r>
        <w:t>统计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5827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203507</wp:posOffset>
                </wp:positionV>
                <wp:extent cx="866775" cy="732155"/>
                <wp:effectExtent l="0" t="0" r="0" b="0"/>
                <wp:wrapNone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-751316</wp:posOffset>
                </wp:positionV>
                <wp:extent cx="866775" cy="732155"/>
                <wp:effectExtent l="0" t="0" r="0" b="0"/>
                <wp:wrapNone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图13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图26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-604215</wp:posOffset>
                </wp:positionV>
                <wp:extent cx="71120" cy="133350"/>
                <wp:effectExtent l="0" t="0" r="0" b="0"/>
                <wp:wrapNone/>
                <wp:docPr id="59" name="文本框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文本框59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spacing w:line="240" w:lineRule="auto" w:before="60"/>
        <w:rPr>
          <w:rFonts w:ascii="Tahoma"/>
          <w:sz w:val="26"/>
        </w:rPr>
      </w:pPr>
      <w:r>
        <w:br w:type="column"/>
      </w:r>
    </w:p>
    <w:p>
      <w:pPr>
        <w:pStyle w:val="P68B1DB1-Heading17"/>
      </w:pPr>
      <w:r>
        <w:t>特征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rPr>
          <w:spacing w:val="-4"/>
        </w:rPr>
        <w:t>软件电池寿命指示器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219"/>
        <w:jc w:val="left"/>
        <w:rPr>
          <w:sz w:val="20"/>
        </w:rPr>
      </w:pPr>
      <w:r>
        <w:rPr>
          <w:spacing w:val="-2"/>
        </w:rPr>
        <w:t>316不锈钢外壳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小巧时尚</w:t>
      </w:r>
      <w:r>
        <w:rPr>
          <w:spacing w:val="-2"/>
        </w:rPr>
        <w:t>的设计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快速响应</w:t>
      </w:r>
      <w:r>
        <w:rPr>
          <w:spacing w:val="-4"/>
        </w:rPr>
        <w:t>时间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rPr>
          <w:spacing w:val="-2"/>
        </w:rPr>
        <w:t>雕刻标签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符合</w:t>
      </w:r>
      <w:r>
        <w:t>CE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可选钥匙环端</w:t>
      </w:r>
      <w:r>
        <w:rPr>
          <w:spacing w:val="-5"/>
        </w:rPr>
        <w:t>盖</w:t>
      </w:r>
    </w:p>
    <w:p>
      <w:pPr>
        <w:pStyle w:val="BodyText"/>
        <w:spacing w:before="25"/>
      </w:pPr>
    </w:p>
    <w:p>
      <w:pPr>
        <w:pStyle w:val="P68B1DB1-Heading110"/>
      </w:pPr>
      <w:r>
        <w:t>认证的本</w:t>
      </w:r>
      <w:r>
        <w:rPr>
          <w:spacing w:val="-4"/>
        </w:rPr>
        <w:t>安</w:t>
      </w:r>
    </w:p>
    <w:p>
      <w:pPr>
        <w:pStyle w:val="P68B1DB1-ListParagraph8"/>
        <w:numPr>
          <w:ilvl w:val="0"/>
          <w:numId w:val="1"/>
        </w:numPr>
        <w:tabs>
          <w:tab w:pos="285" w:val="left" w:leader="none"/>
        </w:tabs>
        <w:spacing w:line="276" w:lineRule="auto" w:before="109" w:after="0"/>
        <w:ind w:left="285" w:right="602" w:hanging="180"/>
        <w:jc w:val="left"/>
        <w:rPr>
          <w:sz w:val="20"/>
        </w:rPr>
      </w:pPr>
      <w:r>
        <w:t>电气保护概念：</w:t>
      </w:r>
      <w:r>
        <w:rPr>
          <w:spacing w:val="-2"/>
        </w:rPr>
        <w:t>IEC：</w:t>
      </w:r>
      <w:r>
        <w:rPr>
          <w:spacing w:val="-2"/>
        </w:rPr>
        <w:t>60079-11</w:t>
      </w:r>
      <w:r>
        <w:rPr>
          <w:spacing w:val="-2"/>
        </w:rPr>
        <w:t>Ex</w:t>
      </w:r>
      <w:r>
        <w:rPr>
          <w:spacing w:val="-2"/>
        </w:rPr>
        <w:t>ia</w:t>
      </w:r>
      <w:r>
        <w:rPr>
          <w:spacing w:val="-2"/>
        </w:rPr>
        <w:t>-</w:t>
      </w:r>
      <w:r>
        <w:rPr>
          <w:spacing w:val="-2"/>
        </w:rPr>
        <w:t>Ex</w:t>
      </w:r>
      <w:r>
        <w:rPr>
          <w:spacing w:val="-2"/>
        </w:rPr>
        <w:t>ic，</w:t>
      </w:r>
      <w:r>
        <w:rPr>
          <w:spacing w:val="-2"/>
        </w:rPr>
        <w:t>本质</w:t>
      </w:r>
      <w:r>
        <w:t>安全区0-2</w:t>
      </w:r>
    </w:p>
    <w:p>
      <w:pPr>
        <w:pStyle w:val="P68B1DB1-ListParagraph8"/>
        <w:numPr>
          <w:ilvl w:val="0"/>
          <w:numId w:val="1"/>
        </w:numPr>
        <w:tabs>
          <w:tab w:pos="285" w:val="left" w:leader="none"/>
        </w:tabs>
        <w:spacing w:line="276" w:lineRule="auto" w:before="0" w:after="0"/>
        <w:ind w:left="285" w:right="1060" w:hanging="180"/>
        <w:jc w:val="left"/>
        <w:rPr>
          <w:sz w:val="20"/>
        </w:rPr>
      </w:pPr>
      <w:r>
        <w:rPr>
          <w:spacing w:val="-2"/>
        </w:rPr>
        <w:t>设备</w:t>
      </w:r>
      <w:r>
        <w:rPr>
          <w:spacing w:val="-2"/>
        </w:rPr>
        <w:t>防护</w:t>
      </w:r>
      <w:r>
        <w:rPr>
          <w:spacing w:val="-2"/>
        </w:rPr>
        <w:t>等级：</w:t>
      </w:r>
      <w:r>
        <w:t xml:space="preserve">Ga - Gc，区域0-2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3" w:lineRule="exact" w:before="0" w:after="0"/>
        <w:ind w:left="284" w:right="0" w:hanging="179"/>
        <w:jc w:val="left"/>
        <w:rPr>
          <w:sz w:val="20"/>
        </w:rPr>
      </w:pPr>
      <w:r>
        <w:rPr>
          <w:spacing w:val="-2"/>
        </w:rPr>
        <w:t>气体类别：</w:t>
      </w:r>
      <w:r>
        <w:rPr>
          <w:spacing w:val="-5"/>
        </w:rPr>
        <w:t>IIC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4" w:after="0"/>
        <w:ind w:left="284" w:right="0" w:hanging="179"/>
        <w:jc w:val="left"/>
        <w:rPr>
          <w:sz w:val="20"/>
        </w:rPr>
      </w:pPr>
      <w:r>
        <w:rPr>
          <w:spacing w:val="-2"/>
        </w:rPr>
        <w:t>温度等级：</w:t>
      </w:r>
      <w:r>
        <w:rPr>
          <w:spacing w:val="-5"/>
        </w:rPr>
        <w:t>T4</w:t>
      </w:r>
    </w:p>
    <w:p>
      <w:pPr>
        <w:pStyle w:val="BodyText"/>
        <w:spacing w:before="24"/>
      </w:pPr>
    </w:p>
    <w:p>
      <w:pPr>
        <w:pStyle w:val="P68B1DB1-Heading17"/>
        <w:spacing w:before="1"/>
      </w:pPr>
      <w:r>
        <w:t>好处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sz w:val="20"/>
        </w:rPr>
      </w:pPr>
      <w:r>
        <w:rPr>
          <w:spacing w:val="-2"/>
        </w:rPr>
        <w:t>快速下载（1分钟</w:t>
      </w:r>
      <w:r>
        <w:rPr>
          <w:spacing w:val="-2"/>
        </w:rPr>
        <w:t>全记忆体）</w:t>
      </w:r>
    </w:p>
    <w:p>
      <w:pPr>
        <w:pStyle w:val="P68B1DB1-ListParagraph8"/>
        <w:numPr>
          <w:ilvl w:val="0"/>
          <w:numId w:val="1"/>
        </w:numPr>
        <w:tabs>
          <w:tab w:pos="285" w:val="left" w:leader="none"/>
        </w:tabs>
        <w:spacing w:line="276" w:lineRule="auto" w:before="36" w:after="0"/>
        <w:ind w:left="285" w:right="715" w:hanging="180"/>
        <w:jc w:val="left"/>
        <w:rPr>
          <w:sz w:val="20"/>
        </w:rPr>
      </w:pPr>
      <w:r>
        <w:t>包含</w:t>
      </w:r>
      <w:r>
        <w:rPr>
          <w:spacing w:val="-2"/>
        </w:rPr>
        <w:t>ISO</w:t>
      </w:r>
      <w:r>
        <w:rPr>
          <w:spacing w:val="-2"/>
        </w:rPr>
        <w:t>17025</w:t>
      </w:r>
      <w:r>
        <w:rPr>
          <w:spacing w:val="-2"/>
        </w:rPr>
        <w:t>认证</w:t>
      </w:r>
      <w:r>
        <w:rPr>
          <w:spacing w:val="-2"/>
        </w:rPr>
        <w:t>校准</w:t>
      </w:r>
      <w:r>
        <w:t>证书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3" w:lineRule="exact" w:before="0" w:after="0"/>
        <w:ind w:left="284" w:right="0" w:hanging="179"/>
        <w:jc w:val="left"/>
        <w:rPr>
          <w:sz w:val="20"/>
        </w:rPr>
      </w:pPr>
      <w:r>
        <w:rPr>
          <w:spacing w:val="-2"/>
        </w:rPr>
        <w:t>轻松识别低电池电压</w:t>
      </w:r>
    </w:p>
    <w:p>
      <w:pPr>
        <w:pStyle w:val="BodyText"/>
        <w:spacing w:before="25"/>
      </w:pPr>
    </w:p>
    <w:p>
      <w:pPr>
        <w:pStyle w:val="P68B1DB1-Heading111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rPr>
          <w:spacing w:val="-2"/>
        </w:rPr>
        <w:t>EtO灭菌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rPr>
          <w:spacing w:val="-2"/>
        </w:rPr>
        <w:t>环境研究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敌对</w:t>
      </w:r>
      <w:r>
        <w:rPr>
          <w:spacing w:val="-2"/>
        </w:rPr>
        <w:t>环境</w:t>
      </w:r>
      <w:r>
        <w:rPr>
          <w:spacing w:val="-2"/>
        </w:rPr>
        <w:t>监测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医疗和制药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560"/>
          <w:cols w:num="2" w:equalWidth="0">
            <w:col w:w="7209" w:space="245"/>
            <w:col w:w="3626"/>
          </w:cols>
        </w:sectPr>
      </w:pPr>
    </w:p>
    <w:p>
      <w:pPr>
        <w:pStyle w:val="BodyText"/>
        <w:spacing w:before="115"/>
      </w:pPr>
    </w:p>
    <w:p>
      <w:pPr>
        <w:spacing w:after="0"/>
        <w:sectPr>
          <w:type w:val="continuous"/>
          <w:pgSz w:w="12240" w:h="15840"/>
          <w:pgMar w:top="0" w:bottom="280" w:left="600" w:right="560"/>
        </w:sectPr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2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12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数字校准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28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3"/>
        <w:rPr>
          <w:rFonts w:ascii="Tahoma"/>
          <w:sz w:val="19"/>
        </w:rPr>
      </w:pP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2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数据</w:t>
      </w:r>
      <w:r>
        <w:rPr>
          <w:spacing w:val="-2"/>
        </w:rPr>
        <w:t>注释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28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2"/>
        <w:rPr>
          <w:sz w:val="19"/>
        </w:rPr>
      </w:pPr>
      <w:r>
        <w:br w:type="column"/>
      </w:r>
    </w:p>
    <w:p>
      <w:pPr>
        <w:spacing w:before="1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203466</wp:posOffset>
                </wp:positionV>
                <wp:extent cx="866775" cy="732155"/>
                <wp:effectExtent l="0" t="0" r="0" b="0"/>
                <wp:wrapNone/>
                <wp:docPr id="60" name="组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组60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1" name="图像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图形62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560"/>
          <w:cols w:num="3" w:equalWidth="0">
            <w:col w:w="2125" w:space="119"/>
            <w:col w:w="3236" w:space="149"/>
            <w:col w:w="5451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10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25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57200" y="930236"/>
                            <a:ext cx="374015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0" h="787400">
                                <a:moveTo>
                                  <a:pt x="0" y="787400"/>
                                </a:moveTo>
                                <a:lnTo>
                                  <a:pt x="3739896" y="787400"/>
                                </a:lnTo>
                                <a:lnTo>
                                  <a:pt x="3739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A87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图像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1117" y="371017"/>
                            <a:ext cx="1261871" cy="18717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图像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5544" y="1188085"/>
                            <a:ext cx="2137435" cy="12231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10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42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  <w:pStyle w:val="P68B1DB1-Normal5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560"/>
          <w:cols w:num="3" w:equalWidth="0">
            <w:col w:w="2540" w:space="492"/>
            <w:col w:w="1536" w:space="1339"/>
            <w:col w:w="517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3" name="组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组73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4" name="图象74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文本框75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3"/>
                              </w:pPr>
                              <w:r>
                                <w:t>RHTemp1000Ex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125" w:right="0" w:firstLine="0"/>
        <w:jc w:val="left"/>
        <w:rPr>
          <w:sz w:val="32"/>
        </w:rPr>
        <w:pStyle w:val="P68B1DB1-Normal14"/>
      </w:pPr>
      <w:r>
        <w:t>规格</w:t>
      </w:r>
    </w:p>
    <w:p>
      <w:pPr>
        <w:spacing w:line="201" w:lineRule="exact" w:before="0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420484</wp:posOffset>
                </wp:positionH>
                <wp:positionV relativeFrom="paragraph">
                  <wp:posOffset>248156</wp:posOffset>
                </wp:positionV>
                <wp:extent cx="3427729" cy="945515"/>
                <wp:effectExtent l="0" t="0" r="0" b="0"/>
                <wp:wrapNone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427729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A87C8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电阻温度检测器（RTD）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ºC至+80 ºC（-40 ºF至+176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0.01 ºC（0.018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ºF）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±0.5 °C（0 °C至±50 °C），±0.9 °F（32 °F至122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3924985</wp:posOffset>
                </wp:positionH>
                <wp:positionV relativeFrom="paragraph">
                  <wp:posOffset>248156</wp:posOffset>
                </wp:positionV>
                <wp:extent cx="3427729" cy="5389245"/>
                <wp:effectExtent l="0" t="0" r="0" b="0"/>
                <wp:wrapNone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427729" cy="538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A87C8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可编程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立即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延迟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最多</w:t>
                                  </w:r>
                                  <w:r>
                                    <w:t>提前24个月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实时记录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密码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32，640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每秒1次读数，最多每24小时1次读数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自动记录在设备内并显示在软件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包含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Tadiran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TL-2150/S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3.6V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t>可在非危险场所更换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15分钟阅读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时1分钟/月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471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标注日期和时间：°C、°F、K、°R; %RH、mg/mL、露点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IFC 400或IFC 406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Windows XP SP3或更高版本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4.2.17.0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安全软件版本4.2.16.0或更高版本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ºC至+80 ºC（-40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RH至100% RH（外壳适当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密封）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1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不带钥匙环：1.67 in x 0.97 in直径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（42.3 mm x 24.6 mm直径）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钥匙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1.98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0.97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直径</w:t>
                                  </w:r>
                                  <w:r>
                                    <w:rPr>
                                      <w:spacing w:val="-9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50.2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24.6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直径）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8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不带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钥匙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圈：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2.4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盎司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（68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克）</w:t>
                                  </w:r>
                                  <w:r>
                                    <w:t>带钥匙圈：2.2盎司（63克）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316不锈钢/Radel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t>未评级-</w:t>
                                  </w:r>
                                  <w:r>
                                    <w:rPr>
                                      <w:b/>
                                    </w:rPr>
                                    <w:t>注意：</w:t>
                                  </w:r>
                                  <w:r>
                                    <w:t>请勿将本产品用于保留IS评级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1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2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235" w:lineRule="auto" w:before="2"/>
                                    <w:ind w:right="1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ATEX证书编号：19ATEX 0126 IECEx证书编号：BAS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19.0109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420484</wp:posOffset>
                </wp:positionH>
                <wp:positionV relativeFrom="paragraph">
                  <wp:posOffset>1303018</wp:posOffset>
                </wp:positionV>
                <wp:extent cx="3427729" cy="1355090"/>
                <wp:effectExtent l="0" t="0" r="0" b="0"/>
                <wp:wrapNone/>
                <wp:docPr id="78" name="文本框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文本框78"/>
                      <wps:cNvSpPr txBox="1"/>
                      <wps:spPr>
                        <a:xfrm>
                          <a:off x="0" y="0"/>
                          <a:ext cx="3427729" cy="135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A87C8"/>
                                </w:tcPr>
                                <w:p>
                                  <w:pPr>
                                    <w:pStyle w:val="P68B1DB1-TableParagraph23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湿度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湿度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电容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聚合物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湿度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RH至100% RH（非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湿度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相对湿度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± 3.0% RH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最大值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146"/>
                                    <w:ind w:right="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规定精度范围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spacing w:line="182" w:lineRule="exact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25% RH至75%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0" w:lineRule="exact"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+20 °C至+40 °C（68 °F至104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滞后误差1%典型值，3%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最大值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2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-2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2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-1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hyperlink r:id="rId18">
        <w:r>
          <w:rPr>
            <w:b/>
            <w:color w:val="002A5C"/>
            <w:spacing w:val="-4"/>
            <w:sz w:val="18"/>
          </w:rPr>
          <w:t>madgetech.com</w:t>
        </w:r>
      </w:hyperlink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8"/>
        <w:rPr>
          <w:sz w:val="18"/>
        </w:rPr>
      </w:pPr>
    </w:p>
    <w:p>
      <w:pPr>
        <w:spacing w:line="208" w:lineRule="auto" w:before="0"/>
        <w:ind w:left="5642" w:right="413" w:firstLine="0"/>
        <w:jc w:val="both"/>
        <w:rPr>
          <w:sz w:val="15"/>
        </w:rPr>
        <w:pStyle w:val="P68B1DB1-Normal24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不得短路、充电、强行排放、粉碎、压碎、穿透或焚烧。</w:t>
      </w:r>
      <w:r>
        <w:rPr>
          <w:color w:val="231F20"/>
        </w:rPr>
        <w:t xml:space="preserve">如果温度超过80 °C（176 °F），电池可能会泄漏或爆炸。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pStyle w:val="P68B1DB1-Heading125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1"/>
              <w:ind w:left="80"/>
              <w:rPr>
                <w:b/>
                <w:sz w:val="15"/>
              </w:rPr>
            </w:pPr>
            <w:r>
              <w:t>RHTemp1000Ex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902154-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>内置安全湿度和温度数据记录器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t>RHTemp1000Ex-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902208-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安全型</w:t>
            </w:r>
            <w:r>
              <w:rPr>
                <w:spacing w:val="-2"/>
              </w:rPr>
              <w:t>湿度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钥匙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1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900319-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7"/>
              <w:rPr>
                <w:sz w:val="15"/>
              </w:rPr>
            </w:pPr>
            <w:r>
              <w:t>带USB</w:t>
            </w:r>
            <w:r>
              <w:rPr>
                <w:spacing w:val="-2"/>
              </w:rPr>
              <w:t>电缆</w:t>
            </w:r>
            <w:r>
              <w:t>的扩展坞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1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900325-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6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TL-</w:t>
            </w:r>
            <w:r>
              <w:rPr>
                <w:spacing w:val="-2"/>
              </w:rPr>
              <w:t>2150/S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901745-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 xml:space="preserve">RHTemp 1000 Ex和RHTemp 1000</w:t>
            </w:r>
            <w:r>
              <w:rPr>
                <w:spacing w:val="-5"/>
              </w:rPr>
              <w:t>Ex-KR</w:t>
            </w:r>
            <w:r>
              <w:rPr>
                <w:spacing w:val="-2"/>
              </w:rPr>
              <w:t>的替换电池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1"/>
        <w:rPr>
          <w:sz w:val="16"/>
        </w:rPr>
      </w:pPr>
    </w:p>
    <w:p>
      <w:pPr>
        <w:spacing w:before="0"/>
        <w:ind w:left="3391" w:right="0" w:firstLine="0"/>
        <w:jc w:val="left"/>
        <w:rPr>
          <w:rFonts w:ascii="Arial" w:hAnsi="Arial"/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458584</wp:posOffset>
                </wp:positionH>
                <wp:positionV relativeFrom="paragraph">
                  <wp:posOffset>-177653</wp:posOffset>
                </wp:positionV>
                <wp:extent cx="1827530" cy="320675"/>
                <wp:effectExtent l="0" t="0" r="0" b="0"/>
                <wp:wrapNone/>
                <wp:docPr id="79" name="组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组79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80" name="图形80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图形82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z w:val="16"/>
        </w:rPr>
        <w:t xml:space="preserve">■电话：+86 755-8420 0058 ■传真：+86 755-2822 5583 ■</w:t>
      </w:r>
      <w:hyperlink r:id="rId19">
        <w:r>
          <w:rPr>
            <w:rFonts w:ascii="Arial" w:hAnsi="Arial"/>
            <w:sz w:val="16"/>
          </w:rPr>
          <w:t>E-mail:sales@eofirm.com</w:t>
        </w:r>
      </w:hyperlink>
      <w:r>
        <w:rPr>
          <w:rFonts w:ascii="Arial" w:hAnsi="Arial"/>
          <w:spacing w:val="-2"/>
          <w:sz w:val="16"/>
        </w:rPr>
        <w:t>■</w:t>
      </w:r>
      <w:hyperlink r:id="rId20">
        <w:r>
          <w:rPr>
            <w:rFonts w:ascii="Arial" w:hAnsi="Arial"/>
            <w:spacing w:val="-2"/>
            <w:sz w:val="16"/>
          </w:rPr>
          <w:t>http://www.eofirm.com</w:t>
        </w:r>
      </w:hyperlink>
    </w:p>
    <w:sectPr>
      <w:pgSz w:w="12240" w:h="15840"/>
      <w:pgMar w:top="280" w:bottom="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7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1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5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9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3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2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rFonts w:ascii="Tahoma"/>
      <w:color w:val="002A5C"/>
      <w:sz w:val="28"/>
    </w:rPr>
  </w:style>
  <w:style w:type="paragraph" w:styleId="P68B1DB1-Normal5">
    <w:name w:val="P68B1DB1-Normal5"/>
    <w:basedOn w:val="Normal"/>
    <w:rPr>
      <w:rFonts w:ascii="Tahoma"/>
      <w:color w:val="898A8D"/>
      <w:spacing w:val="-2"/>
      <w:w w:val="105"/>
      <w:sz w:val="19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Heading17">
    <w:name w:val="P68B1DB1-Heading17"/>
    <w:basedOn w:val="Heading1"/>
    <w:rPr>
      <w:color w:val="002A5C"/>
      <w:spacing w:val="-2"/>
      <w:w w:val="110"/>
    </w:rPr>
  </w:style>
  <w:style w:type="paragraph" w:styleId="P68B1DB1-ListParagraph8">
    <w:name w:val="P68B1DB1-ListParagraph8"/>
    <w:basedOn w:val="ListParagraph"/>
    <w:rPr>
      <w:color w:val="414042"/>
      <w:sz w:val="20"/>
    </w:rPr>
  </w:style>
  <w:style w:type="paragraph" w:styleId="P68B1DB1-ListParagraph9">
    <w:name w:val="P68B1DB1-ListParagraph9"/>
    <w:basedOn w:val="ListParagraph"/>
    <w:rPr>
      <w:color w:val="414042"/>
      <w:w w:val="105"/>
      <w:sz w:val="20"/>
    </w:rPr>
  </w:style>
  <w:style w:type="paragraph" w:styleId="P68B1DB1-Heading110">
    <w:name w:val="P68B1DB1-Heading110"/>
    <w:basedOn w:val="Heading1"/>
    <w:rPr>
      <w:color w:val="002A5C"/>
      <w:w w:val="105"/>
    </w:rPr>
  </w:style>
  <w:style w:type="paragraph" w:styleId="P68B1DB1-Heading111">
    <w:name w:val="P68B1DB1-Heading111"/>
    <w:basedOn w:val="Heading1"/>
    <w:rPr>
      <w:color w:val="002A5C"/>
      <w:spacing w:val="-2"/>
      <w:w w:val="105"/>
    </w:rPr>
  </w:style>
  <w:style w:type="paragraph" w:styleId="P68B1DB1-ListParagraph12">
    <w:name w:val="P68B1DB1-ListParagraph12"/>
    <w:basedOn w:val="ListParagraph"/>
    <w:rPr>
      <w:color w:val="414042"/>
      <w:spacing w:val="-2"/>
      <w:sz w:val="20"/>
    </w:rPr>
  </w:style>
  <w:style w:type="paragraph" w:styleId="P68B1DB1-Normal13">
    <w:name w:val="P68B1DB1-Normal13"/>
    <w:basedOn w:val="Normal"/>
    <w:rPr>
      <w:rFonts w:ascii="Tahoma"/>
      <w:color w:val="FFFFFF"/>
      <w:spacing w:val="-2"/>
      <w:sz w:val="36"/>
    </w:rPr>
  </w:style>
  <w:style w:type="paragraph" w:styleId="P68B1DB1-Normal14">
    <w:name w:val="P68B1DB1-Normal14"/>
    <w:basedOn w:val="Normal"/>
    <w:rPr>
      <w:color w:val="002A5C"/>
      <w:spacing w:val="-2"/>
      <w:w w:val="105"/>
      <w:sz w:val="32"/>
    </w:rPr>
  </w:style>
  <w:style w:type="paragraph" w:styleId="P68B1DB1-TableParagraph15">
    <w:name w:val="P68B1DB1-TableParagraph15"/>
    <w:basedOn w:val="TableParagraph"/>
    <w:rPr>
      <w:b/>
      <w:color w:val="FFFFFF"/>
      <w:spacing w:val="-2"/>
      <w:w w:val="105"/>
      <w:sz w:val="20"/>
    </w:rPr>
  </w:style>
  <w:style w:type="paragraph" w:styleId="P68B1DB1-TableParagraph16">
    <w:name w:val="P68B1DB1-TableParagraph16"/>
    <w:basedOn w:val="TableParagraph"/>
    <w:rPr>
      <w:b/>
      <w:color w:val="231F20"/>
      <w:sz w:val="15"/>
    </w:rPr>
  </w:style>
  <w:style w:type="paragraph" w:styleId="P68B1DB1-TableParagraph17">
    <w:name w:val="P68B1DB1-TableParagraph17"/>
    <w:basedOn w:val="TableParagraph"/>
    <w:rPr>
      <w:color w:val="231F20"/>
      <w:sz w:val="15"/>
    </w:rPr>
  </w:style>
  <w:style w:type="paragraph" w:styleId="P68B1DB1-TableParagraph18">
    <w:name w:val="P68B1DB1-TableParagraph18"/>
    <w:basedOn w:val="TableParagraph"/>
    <w:rPr>
      <w:b/>
      <w:color w:val="231F20"/>
      <w:w w:val="105"/>
      <w:sz w:val="15"/>
    </w:rPr>
  </w:style>
  <w:style w:type="paragraph" w:styleId="P68B1DB1-TableParagraph19">
    <w:name w:val="P68B1DB1-TableParagraph19"/>
    <w:basedOn w:val="TableParagraph"/>
    <w:rPr>
      <w:color w:val="231F20"/>
      <w:spacing w:val="-5"/>
      <w:sz w:val="15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sz w:val="15"/>
    </w:rPr>
  </w:style>
  <w:style w:type="paragraph" w:styleId="P68B1DB1-TableParagraph21">
    <w:name w:val="P68B1DB1-TableParagraph21"/>
    <w:basedOn w:val="TableParagraph"/>
    <w:rPr>
      <w:b/>
      <w:color w:val="231F20"/>
      <w:spacing w:val="-2"/>
      <w:w w:val="105"/>
      <w:sz w:val="15"/>
    </w:rPr>
  </w:style>
  <w:style w:type="paragraph" w:styleId="P68B1DB1-TableParagraph22">
    <w:name w:val="P68B1DB1-TableParagraph22"/>
    <w:basedOn w:val="TableParagraph"/>
    <w:rPr>
      <w:color w:val="231F20"/>
      <w:spacing w:val="-5"/>
      <w:w w:val="105"/>
      <w:sz w:val="15"/>
    </w:rPr>
  </w:style>
  <w:style w:type="paragraph" w:styleId="P68B1DB1-TableParagraph23">
    <w:name w:val="P68B1DB1-TableParagraph23"/>
    <w:basedOn w:val="TableParagraph"/>
    <w:rPr>
      <w:b/>
      <w:color w:val="FFFFFF"/>
      <w:spacing w:val="-2"/>
      <w:sz w:val="20"/>
    </w:rPr>
  </w:style>
  <w:style w:type="paragraph" w:styleId="P68B1DB1-Normal24">
    <w:name w:val="P68B1DB1-Normal24"/>
    <w:basedOn w:val="Normal"/>
    <w:rPr>
      <w:sz w:val="15"/>
    </w:rPr>
  </w:style>
  <w:style w:type="paragraph" w:styleId="P68B1DB1-Heading125">
    <w:name w:val="P68B1DB1-Heading125"/>
    <w:basedOn w:val="Heading1"/>
    <w:rPr>
      <w:color w:val="002A5C"/>
    </w:rPr>
  </w:style>
  <w:style w:type="paragraph" w:styleId="P68B1DB1-TableParagraph26">
    <w:name w:val="P68B1DB1-TableParagraph26"/>
    <w:basedOn w:val="TableParagraph"/>
    <w:rPr>
      <w:color w:val="231F20"/>
      <w:spacing w:val="-2"/>
      <w:sz w:val="15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hyperlink" Target="http://www.madgetech.com/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2024-11-11T05:56:25Z</dcterms:created>
  <dcterms:modified xsi:type="dcterms:W3CDTF">2024-11-11T05:56:25Z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17.0</vt:lpwstr>
  </property>
</Properties>
</file>