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114"/>
        <w:rPr>
          <w:rFonts w:ascii="Times New Roman"/>
          <w:sz w:val="60"/>
        </w:rPr>
      </w:pPr>
    </w:p>
    <w:p>
      <w:pPr>
        <w:pStyle w:val="P68B1DB1-Title1"/>
      </w:pPr>
      <w:r>
        <w:t>RFPulse2000A</w:t>
      </w:r>
    </w:p>
    <w:p>
      <w:pPr>
        <w:spacing w:line="421" w:lineRule="exact" w:before="0"/>
        <w:ind w:left="140" w:right="0" w:firstLine="0"/>
        <w:jc w:val="left"/>
        <w:rPr>
          <w:sz w:val="36"/>
        </w:rPr>
        <w:pStyle w:val="P68B1DB1-Normal2"/>
      </w:pPr>
      <w:r>
        <w:rPr>
          <w:spacing w:val="-4"/>
        </w:rPr>
        <w:t>无线脉冲数据记录仪</w:t>
      </w:r>
    </w:p>
    <w:p>
      <w:pPr>
        <w:pStyle w:val="BodyText"/>
      </w:pPr>
    </w:p>
    <w:p>
      <w:pPr>
        <w:pStyle w:val="BodyText"/>
        <w:spacing w:before="196"/>
      </w:pPr>
    </w:p>
    <w:p>
      <w:pPr>
        <w:spacing w:after="0"/>
        <w:sectPr>
          <w:type w:val="continuous"/>
          <w:pgSz w:w="12240" w:h="15840"/>
          <w:pgMar w:top="0" w:bottom="280" w:left="580" w:right="520"/>
        </w:sectPr>
      </w:pPr>
    </w:p>
    <w:p>
      <w:pPr>
        <w:pStyle w:val="P68B1DB1-BodyText3"/>
        <w:spacing w:line="235" w:lineRule="auto" w:before="113"/>
        <w:ind w:left="140"/>
      </w:pPr>
      <w:r>
        <w:t xml:space="preserve">RFPulse 2000A是一款无线数据记录仪，可记录来自</w:t>
      </w:r>
      <w:r>
        <w:rPr>
          <w:spacing w:val="-2"/>
        </w:rPr>
        <w:t>流量</w:t>
      </w:r>
      <w:r>
        <w:rPr>
          <w:spacing w:val="-2"/>
        </w:rPr>
        <w:t>计</w:t>
      </w:r>
      <w:r>
        <w:rPr>
          <w:spacing w:val="-2"/>
        </w:rPr>
        <w:t>和</w:t>
      </w:r>
      <w:r>
        <w:rPr>
          <w:spacing w:val="-2"/>
        </w:rPr>
        <w:t>风速计等各种传感器的脉冲输出信号。</w:t>
      </w:r>
      <w:r>
        <w:rPr>
          <w:spacing w:val="-2"/>
        </w:rPr>
        <w:t>启动</w:t>
      </w:r>
      <w:r>
        <w:rPr>
          <w:spacing w:val="-2"/>
        </w:rPr>
        <w:t>时</w:t>
      </w:r>
      <w:r>
        <w:t>，</w:t>
      </w:r>
      <w:r>
        <w:rPr>
          <w:spacing w:val="-2"/>
        </w:rPr>
        <w:t>数据</w:t>
      </w:r>
      <w:r>
        <w:rPr>
          <w:spacing w:val="-2"/>
        </w:rPr>
        <w:t>记录器以</w:t>
      </w:r>
      <w:r>
        <w:rPr>
          <w:spacing w:val="-2"/>
        </w:rPr>
        <w:t xml:space="preserve">100 Hz</w:t>
      </w:r>
      <w:r>
        <w:rPr>
          <w:spacing w:val="-2"/>
        </w:rPr>
        <w:t>和</w:t>
      </w:r>
      <w:r>
        <w:rPr>
          <w:spacing w:val="-2"/>
        </w:rPr>
        <w:t>用户</w:t>
      </w:r>
      <w:r>
        <w:rPr>
          <w:spacing w:val="-2"/>
        </w:rPr>
        <w:t>指定</w:t>
      </w:r>
      <w:r>
        <w:rPr>
          <w:spacing w:val="-2"/>
        </w:rPr>
        <w:t>的</w:t>
      </w:r>
      <w:r>
        <w:rPr>
          <w:spacing w:val="-2"/>
        </w:rPr>
        <w:t>读取</w:t>
      </w:r>
      <w:r>
        <w:rPr>
          <w:spacing w:val="-2"/>
        </w:rPr>
        <w:t>速率进行采样，</w:t>
      </w:r>
      <w:r>
        <w:rPr>
          <w:spacing w:val="-2"/>
        </w:rPr>
        <w:t>记录</w:t>
      </w:r>
      <w:r>
        <w:t>从采样到存储器</w:t>
      </w:r>
      <w:r>
        <w:rPr>
          <w:spacing w:val="-2"/>
        </w:rPr>
        <w:t>的</w:t>
      </w:r>
      <w:r>
        <w:t>脉冲</w:t>
      </w:r>
      <w:r>
        <w:rPr>
          <w:spacing w:val="-2"/>
        </w:rPr>
        <w:t>总数</w:t>
      </w:r>
    </w:p>
    <w:p>
      <w:pPr>
        <w:pStyle w:val="P68B1DB1-BodyText3"/>
        <w:spacing w:line="235" w:lineRule="auto" w:before="147"/>
        <w:ind w:left="140" w:right="220"/>
      </w:pPr>
      <w:r>
        <w:t>RFPulse2000A具有一个LCD屏幕，可即时访问</w:t>
      </w:r>
      <w:r>
        <w:rPr>
          <w:spacing w:val="-2"/>
        </w:rPr>
        <w:t>当前</w:t>
      </w:r>
      <w:r>
        <w:rPr>
          <w:spacing w:val="-2"/>
        </w:rPr>
        <w:t>读数、</w:t>
      </w:r>
      <w:r>
        <w:rPr>
          <w:spacing w:val="-2"/>
        </w:rPr>
        <w:t>最小值、</w:t>
      </w:r>
      <w:r>
        <w:rPr>
          <w:spacing w:val="-2"/>
        </w:rPr>
        <w:t>最大值</w:t>
      </w:r>
      <w:r>
        <w:rPr>
          <w:spacing w:val="-2"/>
        </w:rPr>
        <w:t>和</w:t>
      </w:r>
      <w:r>
        <w:rPr>
          <w:spacing w:val="-2"/>
        </w:rPr>
        <w:t>平均值</w:t>
      </w:r>
      <w:r>
        <w:rPr>
          <w:spacing w:val="-2"/>
        </w:rPr>
        <w:t>统计数据。</w:t>
      </w:r>
      <w:r>
        <w:rPr>
          <w:spacing w:val="-2"/>
        </w:rPr>
        <w:t>通过</w:t>
      </w:r>
      <w:r>
        <w:rPr>
          <w:spacing w:val="-2"/>
        </w:rPr>
        <w:t>软件</w:t>
      </w:r>
      <w:r>
        <w:t>，可以对设备进行编程，以将脉冲输出转换为不同的单位。</w:t>
      </w:r>
    </w:p>
    <w:p>
      <w:pPr>
        <w:pStyle w:val="P68B1DB1-BodyText3"/>
        <w:spacing w:line="235" w:lineRule="auto" w:before="3"/>
        <w:ind w:left="140"/>
      </w:pPr>
      <w:r>
        <w:t>例如每分钟加仑数或每小时英里</w:t>
      </w:r>
      <w:r>
        <w:t>这些信息可以在数据记录仪的LCD屏幕上以及软件中查看。</w:t>
      </w:r>
    </w:p>
    <w:p>
      <w:pPr>
        <w:pStyle w:val="P68B1DB1-BodyText3"/>
        <w:spacing w:line="235" w:lineRule="auto" w:before="145"/>
        <w:ind w:left="140" w:right="220"/>
      </w:pPr>
      <w:r>
        <w:t>RFPulse2000A的独特之处在于它不仅计算脉冲计数，而且还计算脉冲率。工程单位可以作为速率编程到设备中</w:t>
      </w:r>
      <w:r>
        <w:rPr>
          <w:spacing w:val="-2"/>
        </w:rPr>
        <w:t>，</w:t>
      </w:r>
      <w:r>
        <w:rPr>
          <w:spacing w:val="-2"/>
        </w:rPr>
        <w:t>这</w:t>
      </w:r>
      <w:r>
        <w:rPr>
          <w:spacing w:val="-2"/>
        </w:rPr>
        <w:t>允许</w:t>
      </w:r>
      <w:r>
        <w:rPr>
          <w:spacing w:val="-2"/>
        </w:rPr>
        <w:t>设备</w:t>
      </w:r>
      <w:r>
        <w:rPr>
          <w:spacing w:val="-2"/>
        </w:rPr>
        <w:t>以</w:t>
      </w:r>
      <w:r>
        <w:rPr>
          <w:spacing w:val="-2"/>
        </w:rPr>
        <w:t>每秒</w:t>
      </w:r>
      <w:r>
        <w:rPr>
          <w:spacing w:val="-2"/>
        </w:rPr>
        <w:t>、</w:t>
      </w:r>
      <w:r>
        <w:t>分钟、小时或每天</w:t>
      </w:r>
      <w:r>
        <w:rPr>
          <w:spacing w:val="-2"/>
        </w:rPr>
        <w:t>的</w:t>
      </w:r>
      <w:r>
        <w:rPr>
          <w:spacing w:val="-2"/>
        </w:rPr>
        <w:t>速率</w:t>
      </w:r>
      <w:r>
        <w:rPr>
          <w:spacing w:val="-2"/>
        </w:rPr>
        <w:t>计算</w:t>
      </w:r>
      <w:r>
        <w:rPr>
          <w:spacing w:val="-2"/>
        </w:rPr>
        <w:t>测量</w:t>
      </w:r>
      <w:r>
        <w:rPr>
          <w:spacing w:val="-2"/>
        </w:rPr>
        <w:t>单位</w:t>
      </w:r>
      <w:r>
        <w:t>这在长时间数据记录时为用户提供了更有用的统计数据</w:t>
      </w:r>
    </w:p>
    <w:p>
      <w:pPr>
        <w:pStyle w:val="P68B1DB1-BodyText3"/>
        <w:spacing w:line="235" w:lineRule="auto" w:before="148"/>
        <w:ind w:left="140" w:right="406"/>
      </w:pPr>
      <w:r>
        <w:t>RFPulse2000A可用作单个无线数据记录系统，也可扩展为大型系统，其中可包括数百个测量多个区域的数据记录仪（可能需要额外的MadgeTech无线数据记录仪和收发器）。</w:t>
      </w:r>
      <w:r>
        <w:t xml:space="preserve">RFPulse2000A与最新的MadgeTech 4软件兼容</w:t>
      </w:r>
    </w:p>
    <w:p>
      <w:pPr>
        <w:pStyle w:val="BodyText"/>
        <w:spacing w:before="8"/>
        <w:rPr>
          <w:sz w:val="17"/>
        </w:rPr>
      </w:pPr>
    </w:p>
    <w:p>
      <w:pPr>
        <w:pStyle w:val="P68B1DB1-BodyText4"/>
        <w:spacing w:line="20" w:lineRule="exact"/>
        <w:ind w:left="140" w:right="-159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4495800" cy="6350"/>
                <wp:effectExtent l="9525" t="0" r="0" b="3175"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4495800" cy="6350"/>
                          <a:chExt cx="4495800" cy="6350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175"/>
                            <a:ext cx="449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0" h="0">
                                <a:moveTo>
                                  <a:pt x="0" y="0"/>
                                </a:moveTo>
                                <a:lnTo>
                                  <a:pt x="4495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149"/>
        <w:ind w:left="125" w:right="0" w:firstLine="0"/>
        <w:jc w:val="left"/>
        <w:rPr>
          <w:rFonts w:ascii="Tahoma"/>
          <w:sz w:val="2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448055</wp:posOffset>
                </wp:positionH>
                <wp:positionV relativeFrom="paragraph">
                  <wp:posOffset>473105</wp:posOffset>
                </wp:positionV>
                <wp:extent cx="3481070" cy="2431415"/>
                <wp:effectExtent l="0" t="0" r="0" b="0"/>
                <wp:wrapNone/>
                <wp:docPr id="3" name="组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组3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4" name="图像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图5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002A5C"/>
          <w:spacing w:val="-4"/>
          <w:sz w:val="28"/>
        </w:rPr>
        <w:t>MadgeTech</w:t>
      </w:r>
      <w:r>
        <w:rPr>
          <w:rFonts w:ascii="Tahoma"/>
          <w:color w:val="002A5C"/>
          <w:spacing w:val="-4"/>
          <w:sz w:val="28"/>
        </w:rPr>
        <w:t>4</w:t>
      </w:r>
      <w:r>
        <w:rPr>
          <w:rFonts w:ascii="Tahoma"/>
          <w:color w:val="002A5C"/>
          <w:spacing w:val="-4"/>
          <w:sz w:val="28"/>
        </w:rPr>
        <w:t>软件</w:t>
      </w:r>
      <w:r>
        <w:rPr>
          <w:rFonts w:ascii="Tahoma"/>
          <w:color w:val="002A5C"/>
          <w:spacing w:val="-4"/>
          <w:sz w:val="28"/>
        </w:rPr>
        <w:t>功能</w:t>
      </w:r>
    </w:p>
    <w:p>
      <w:pPr>
        <w:pStyle w:val="BodyText"/>
        <w:spacing w:before="15"/>
        <w:rPr>
          <w:rFonts w:ascii="Tahoma"/>
        </w:rPr>
      </w:pPr>
    </w:p>
    <w:p>
      <w:pPr>
        <w:pStyle w:val="P68B1DB1-BodyText5"/>
        <w:ind w:left="5854" w:right="-159"/>
        <w:rPr>
          <w:rFonts w:ascii="Tahoma"/>
        </w:rPr>
      </w:pPr>
      <w:r>
        <mc:AlternateContent>
          <mc:Choice Requires="wps">
            <w:drawing>
              <wp:inline distT="0" distB="0" distL="0" distR="0">
                <wp:extent cx="866775" cy="732155"/>
                <wp:effectExtent l="0" t="0" r="0" b="1270"/>
                <wp:docPr id="6" name="第6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第6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7" name="图像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图8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8"/>
        <w:ind w:left="0" w:right="38" w:firstLine="0"/>
        <w:jc w:val="righ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4086694</wp:posOffset>
                </wp:positionH>
                <wp:positionV relativeFrom="paragraph">
                  <wp:posOffset>205676</wp:posOffset>
                </wp:positionV>
                <wp:extent cx="866775" cy="732155"/>
                <wp:effectExtent l="0" t="0" r="0" b="0"/>
                <wp:wrapNone/>
                <wp:docPr id="9" name="组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组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10" name="图像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图11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14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292"/>
                            <a:ext cx="138684" cy="2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形19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图26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形29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图像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图31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图33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图像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图35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663715" y="463345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图像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4275154</wp:posOffset>
                </wp:positionH>
                <wp:positionV relativeFrom="paragraph">
                  <wp:posOffset>352777</wp:posOffset>
                </wp:positionV>
                <wp:extent cx="71120" cy="133350"/>
                <wp:effectExtent l="0" t="0" r="0" b="0"/>
                <wp:wrapNone/>
                <wp:docPr id="57" name="文本框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文本框57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6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pacing w:val="-2"/>
          <w:sz w:val="19"/>
        </w:rPr>
        <w:t>冷却</w:t>
      </w:r>
      <w:r>
        <w:rPr>
          <w:rFonts w:ascii="Tahoma"/>
          <w:color w:val="898A8D"/>
          <w:spacing w:val="-2"/>
          <w:sz w:val="19"/>
        </w:rPr>
        <w:t>标记</w:t>
      </w:r>
    </w:p>
    <w:p>
      <w:pPr>
        <w:spacing w:line="240" w:lineRule="auto" w:before="0"/>
        <w:rPr>
          <w:rFonts w:ascii="Tahoma"/>
          <w:sz w:val="26"/>
        </w:rPr>
      </w:pPr>
      <w:r>
        <w:br w:type="column"/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4"/>
        <w:rPr>
          <w:rFonts w:ascii="Tahoma"/>
          <w:sz w:val="26"/>
        </w:rPr>
      </w:pPr>
    </w:p>
    <w:p>
      <w:pPr>
        <w:pStyle w:val="P68B1DB1-Heading17"/>
      </w:pPr>
      <w:r>
        <w:t>特征</w:t>
      </w:r>
    </w:p>
    <w:p>
      <w:pPr>
        <w:pStyle w:val="P68B1DB1-ListParagraph8"/>
        <w:numPr>
          <w:ilvl w:val="0"/>
          <w:numId w:val="1"/>
        </w:numPr>
        <w:tabs>
          <w:tab w:pos="304" w:val="left" w:leader="none"/>
        </w:tabs>
        <w:spacing w:line="240" w:lineRule="auto" w:before="109" w:after="0"/>
        <w:ind w:left="304" w:right="0" w:hanging="179"/>
        <w:jc w:val="left"/>
        <w:rPr>
          <w:sz w:val="20"/>
        </w:rPr>
      </w:pPr>
      <w:r>
        <w:rPr>
          <w:spacing w:val="-6"/>
        </w:rPr>
        <w:t>无线</w:t>
      </w:r>
      <w:r>
        <w:rPr>
          <w:spacing w:val="-6"/>
        </w:rPr>
        <w:t>双向</w:t>
      </w:r>
      <w:r>
        <w:rPr>
          <w:spacing w:val="-6"/>
        </w:rPr>
        <w:t>通信</w:t>
      </w:r>
    </w:p>
    <w:p>
      <w:pPr>
        <w:pStyle w:val="P68B1DB1-ListParagraph8"/>
        <w:numPr>
          <w:ilvl w:val="0"/>
          <w:numId w:val="1"/>
        </w:numPr>
        <w:tabs>
          <w:tab w:pos="304" w:val="left" w:leader="none"/>
        </w:tabs>
        <w:spacing w:line="240" w:lineRule="auto" w:before="36" w:after="0"/>
        <w:ind w:left="304" w:right="0" w:hanging="179"/>
        <w:jc w:val="left"/>
        <w:rPr>
          <w:sz w:val="20"/>
        </w:rPr>
      </w:pPr>
      <w:r>
        <w:rPr>
          <w:spacing w:val="-2"/>
        </w:rPr>
        <w:t>电池寿命指示器</w:t>
      </w:r>
    </w:p>
    <w:p>
      <w:pPr>
        <w:pStyle w:val="P68B1DB1-ListParagraph9"/>
        <w:numPr>
          <w:ilvl w:val="0"/>
          <w:numId w:val="1"/>
        </w:numPr>
        <w:tabs>
          <w:tab w:pos="304" w:val="left" w:leader="none"/>
        </w:tabs>
        <w:spacing w:line="240" w:lineRule="auto" w:before="36" w:after="0"/>
        <w:ind w:left="304" w:right="0" w:hanging="179"/>
        <w:jc w:val="left"/>
        <w:rPr>
          <w:sz w:val="20"/>
        </w:rPr>
      </w:pPr>
      <w:r>
        <w:t>数字显示</w:t>
      </w:r>
    </w:p>
    <w:p>
      <w:pPr>
        <w:pStyle w:val="P68B1DB1-ListParagraph8"/>
        <w:numPr>
          <w:ilvl w:val="0"/>
          <w:numId w:val="1"/>
        </w:numPr>
        <w:tabs>
          <w:tab w:pos="305" w:val="left" w:leader="none"/>
        </w:tabs>
        <w:spacing w:line="276" w:lineRule="auto" w:before="36" w:after="0"/>
        <w:ind w:left="305" w:right="294" w:hanging="180"/>
        <w:jc w:val="left"/>
        <w:rPr>
          <w:sz w:val="20"/>
        </w:rPr>
      </w:pPr>
      <w:r>
        <w:rPr>
          <w:spacing w:val="-4"/>
        </w:rPr>
        <w:t>3年电池寿命，15分钟读取速率</w:t>
      </w:r>
    </w:p>
    <w:p>
      <w:pPr>
        <w:pStyle w:val="P68B1DB1-ListParagraph8"/>
        <w:numPr>
          <w:ilvl w:val="0"/>
          <w:numId w:val="1"/>
        </w:numPr>
        <w:tabs>
          <w:tab w:pos="304" w:val="left" w:leader="none"/>
        </w:tabs>
        <w:spacing w:line="243" w:lineRule="exact" w:before="0" w:after="0"/>
        <w:ind w:left="304" w:right="0" w:hanging="179"/>
        <w:jc w:val="left"/>
        <w:rPr>
          <w:sz w:val="20"/>
        </w:rPr>
      </w:pPr>
      <w:r>
        <w:t>直接USB</w:t>
      </w:r>
      <w:r>
        <w:rPr>
          <w:spacing w:val="-2"/>
        </w:rPr>
        <w:t>接口</w:t>
      </w:r>
    </w:p>
    <w:p>
      <w:pPr>
        <w:pStyle w:val="P68B1DB1-ListParagraph8"/>
        <w:numPr>
          <w:ilvl w:val="0"/>
          <w:numId w:val="1"/>
        </w:numPr>
        <w:tabs>
          <w:tab w:pos="304" w:val="left" w:leader="none"/>
        </w:tabs>
        <w:spacing w:line="240" w:lineRule="auto" w:before="36" w:after="0"/>
        <w:ind w:left="304" w:right="0" w:hanging="179"/>
        <w:jc w:val="left"/>
        <w:rPr>
          <w:sz w:val="20"/>
        </w:rPr>
      </w:pPr>
      <w:r>
        <w:rPr>
          <w:spacing w:val="-2"/>
        </w:rPr>
        <w:t>可配置报警</w:t>
      </w:r>
    </w:p>
    <w:p>
      <w:pPr>
        <w:pStyle w:val="BodyText"/>
        <w:spacing w:before="24"/>
      </w:pPr>
    </w:p>
    <w:p>
      <w:pPr>
        <w:pStyle w:val="P68B1DB1-Heading17"/>
        <w:spacing w:before="0"/>
      </w:pPr>
      <w:r>
        <w:t>好处</w:t>
      </w:r>
    </w:p>
    <w:p>
      <w:pPr>
        <w:pStyle w:val="P68B1DB1-ListParagraph8"/>
        <w:numPr>
          <w:ilvl w:val="0"/>
          <w:numId w:val="1"/>
        </w:numPr>
        <w:tabs>
          <w:tab w:pos="305" w:val="left" w:leader="none"/>
        </w:tabs>
        <w:spacing w:line="276" w:lineRule="auto" w:before="110" w:after="0"/>
        <w:ind w:left="305" w:right="335" w:hanging="180"/>
        <w:jc w:val="left"/>
        <w:rPr>
          <w:sz w:val="20"/>
        </w:rPr>
      </w:pPr>
      <w:r>
        <w:rPr>
          <w:spacing w:val="-2"/>
        </w:rPr>
        <w:t>数字</w:t>
      </w:r>
      <w:r>
        <w:rPr>
          <w:spacing w:val="-2"/>
        </w:rPr>
        <w:t>显示屏</w:t>
      </w:r>
      <w:r>
        <w:rPr>
          <w:spacing w:val="-2"/>
        </w:rPr>
        <w:t>提供</w:t>
      </w:r>
      <w:r>
        <w:rPr>
          <w:spacing w:val="-2"/>
        </w:rPr>
        <w:t>即时</w:t>
      </w:r>
      <w:r>
        <w:rPr>
          <w:spacing w:val="-2"/>
        </w:rPr>
        <w:t>访问</w:t>
      </w:r>
      <w:r>
        <w:t>当前读数</w:t>
      </w:r>
    </w:p>
    <w:p>
      <w:pPr>
        <w:pStyle w:val="P68B1DB1-ListParagraph8"/>
        <w:numPr>
          <w:ilvl w:val="0"/>
          <w:numId w:val="1"/>
        </w:numPr>
        <w:tabs>
          <w:tab w:pos="304" w:val="left" w:leader="none"/>
        </w:tabs>
        <w:spacing w:line="243" w:lineRule="exact" w:before="0" w:after="0"/>
        <w:ind w:left="304" w:right="0" w:hanging="179"/>
        <w:jc w:val="left"/>
        <w:rPr>
          <w:sz w:val="20"/>
        </w:rPr>
      </w:pPr>
      <w:r>
        <w:rPr>
          <w:spacing w:val="-4"/>
        </w:rPr>
        <w:t>最低限度的长期维护</w:t>
      </w:r>
    </w:p>
    <w:p>
      <w:pPr>
        <w:pStyle w:val="P68B1DB1-ListParagraph8"/>
        <w:numPr>
          <w:ilvl w:val="0"/>
          <w:numId w:val="1"/>
        </w:numPr>
        <w:tabs>
          <w:tab w:pos="305" w:val="left" w:leader="none"/>
        </w:tabs>
        <w:spacing w:line="276" w:lineRule="auto" w:before="36" w:after="0"/>
        <w:ind w:left="305" w:right="396" w:hanging="180"/>
        <w:jc w:val="left"/>
        <w:rPr>
          <w:sz w:val="20"/>
        </w:rPr>
      </w:pPr>
      <w:r>
        <w:t>用户选择测量单位时显示读数</w:t>
      </w:r>
    </w:p>
    <w:p>
      <w:pPr>
        <w:pStyle w:val="P68B1DB1-ListParagraph8"/>
        <w:numPr>
          <w:ilvl w:val="0"/>
          <w:numId w:val="1"/>
        </w:numPr>
        <w:tabs>
          <w:tab w:pos="305" w:val="left" w:leader="none"/>
        </w:tabs>
        <w:spacing w:line="276" w:lineRule="auto" w:before="0" w:after="0"/>
        <w:ind w:left="305" w:right="449" w:hanging="180"/>
        <w:jc w:val="left"/>
        <w:rPr>
          <w:sz w:val="20"/>
        </w:rPr>
      </w:pPr>
      <w:r>
        <w:rPr>
          <w:spacing w:val="-2"/>
        </w:rPr>
        <w:t>通过电池管理节省时间和金钱</w:t>
      </w:r>
    </w:p>
    <w:p>
      <w:pPr>
        <w:pStyle w:val="P68B1DB1-Heading110"/>
        <w:spacing w:before="230"/>
      </w:pPr>
      <w:r>
        <w:t>应用</w:t>
      </w:r>
    </w:p>
    <w:p>
      <w:pPr>
        <w:pStyle w:val="P68B1DB1-ListParagraph8"/>
        <w:numPr>
          <w:ilvl w:val="0"/>
          <w:numId w:val="1"/>
        </w:numPr>
        <w:tabs>
          <w:tab w:pos="304" w:val="left" w:leader="none"/>
        </w:tabs>
        <w:spacing w:line="240" w:lineRule="auto" w:before="109" w:after="0"/>
        <w:ind w:left="304" w:right="0" w:hanging="179"/>
        <w:jc w:val="left"/>
        <w:rPr>
          <w:sz w:val="20"/>
        </w:rPr>
      </w:pPr>
      <w:r>
        <w:rPr>
          <w:spacing w:val="-2"/>
        </w:rPr>
        <w:t>风速监测</w:t>
      </w:r>
    </w:p>
    <w:p>
      <w:pPr>
        <w:pStyle w:val="P68B1DB1-ListParagraph9"/>
        <w:numPr>
          <w:ilvl w:val="0"/>
          <w:numId w:val="1"/>
        </w:numPr>
        <w:tabs>
          <w:tab w:pos="304" w:val="left" w:leader="none"/>
        </w:tabs>
        <w:spacing w:line="240" w:lineRule="auto" w:before="36" w:after="0"/>
        <w:ind w:left="304" w:right="0" w:hanging="179"/>
        <w:jc w:val="left"/>
        <w:rPr>
          <w:sz w:val="20"/>
        </w:rPr>
      </w:pPr>
      <w:r>
        <w:t>能源监测</w:t>
      </w:r>
    </w:p>
    <w:p>
      <w:pPr>
        <w:pStyle w:val="P68B1DB1-ListParagraph8"/>
        <w:numPr>
          <w:ilvl w:val="0"/>
          <w:numId w:val="1"/>
        </w:numPr>
        <w:tabs>
          <w:tab w:pos="304" w:val="left" w:leader="none"/>
        </w:tabs>
        <w:spacing w:line="240" w:lineRule="auto" w:before="36" w:after="0"/>
        <w:ind w:left="304" w:right="0" w:hanging="179"/>
        <w:jc w:val="left"/>
        <w:rPr>
          <w:sz w:val="20"/>
        </w:rPr>
      </w:pPr>
      <w:r>
        <w:rPr>
          <w:spacing w:val="-2"/>
        </w:rPr>
        <w:t>流速监控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580" w:right="520"/>
          <w:cols w:num="2" w:equalWidth="0">
            <w:col w:w="7137" w:space="318"/>
            <w:col w:w="3685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1"/>
        <w:rPr>
          <w:sz w:val="19"/>
        </w:rPr>
      </w:pPr>
    </w:p>
    <w:p>
      <w:pPr>
        <w:spacing w:before="0"/>
        <w:ind w:left="1935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202918</wp:posOffset>
                </wp:positionV>
                <wp:extent cx="866775" cy="732155"/>
                <wp:effectExtent l="0" t="0" r="0" b="0"/>
                <wp:wrapNone/>
                <wp:docPr id="58" name="组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组58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9" name="图像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图形60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17"/>
        <w:rPr>
          <w:rFonts w:ascii="Tahoma"/>
        </w:rPr>
      </w:pPr>
    </w:p>
    <w:p>
      <w:pPr>
        <w:spacing w:after="0"/>
        <w:rPr>
          <w:rFonts w:ascii="Tahoma"/>
        </w:rPr>
        <w:sectPr>
          <w:type w:val="continuous"/>
          <w:pgSz w:w="12240" w:h="15840"/>
          <w:pgMar w:top="0" w:bottom="280" w:left="580" w:right="52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21"/>
        <w:rPr>
          <w:rFonts w:ascii="Tahoma"/>
        </w:rPr>
      </w:pPr>
    </w:p>
    <w:p>
      <w:pPr>
        <w:pStyle w:val="P68B1DB1-ListParagraph8"/>
        <w:numPr>
          <w:ilvl w:val="0"/>
          <w:numId w:val="1"/>
        </w:numPr>
        <w:tabs>
          <w:tab w:pos="319" w:val="left" w:leader="none"/>
        </w:tabs>
        <w:spacing w:line="242" w:lineRule="exact" w:before="0" w:after="0"/>
        <w:ind w:left="31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9"/>
        <w:numPr>
          <w:ilvl w:val="0"/>
          <w:numId w:val="1"/>
        </w:numPr>
        <w:tabs>
          <w:tab w:pos="319" w:val="left" w:leader="none"/>
        </w:tabs>
        <w:spacing w:line="240" w:lineRule="exact" w:before="0" w:after="0"/>
        <w:ind w:left="319" w:right="0" w:hanging="179"/>
        <w:jc w:val="left"/>
        <w:rPr>
          <w:sz w:val="20"/>
        </w:rPr>
      </w:pPr>
      <w:r>
        <w:t>统计</w:t>
      </w:r>
    </w:p>
    <w:p>
      <w:pPr>
        <w:pStyle w:val="P68B1DB1-ListParagraph9"/>
        <w:numPr>
          <w:ilvl w:val="0"/>
          <w:numId w:val="1"/>
        </w:numPr>
        <w:tabs>
          <w:tab w:pos="319" w:val="left" w:leader="none"/>
        </w:tabs>
        <w:spacing w:line="240" w:lineRule="exact" w:before="0" w:after="0"/>
        <w:ind w:left="319" w:right="0" w:hanging="179"/>
        <w:jc w:val="left"/>
        <w:rPr>
          <w:sz w:val="20"/>
        </w:rPr>
      </w:pPr>
      <w:r>
        <w:t>数字校准</w:t>
      </w:r>
    </w:p>
    <w:p>
      <w:pPr>
        <w:pStyle w:val="P68B1DB1-ListParagraph8"/>
        <w:numPr>
          <w:ilvl w:val="0"/>
          <w:numId w:val="1"/>
        </w:numPr>
        <w:tabs>
          <w:tab w:pos="319" w:val="left" w:leader="none"/>
        </w:tabs>
        <w:spacing w:line="228" w:lineRule="exact" w:before="0" w:after="0"/>
        <w:ind w:left="31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2"/>
        <w:ind w:left="14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23"/>
        <w:rPr>
          <w:rFonts w:ascii="Tahoma"/>
          <w:sz w:val="19"/>
        </w:rPr>
      </w:pPr>
    </w:p>
    <w:p>
      <w:pPr>
        <w:pStyle w:val="P68B1DB1-ListParagraph8"/>
        <w:numPr>
          <w:ilvl w:val="1"/>
          <w:numId w:val="1"/>
        </w:numPr>
        <w:tabs>
          <w:tab w:pos="1106" w:val="left" w:leader="none"/>
        </w:tabs>
        <w:spacing w:line="242" w:lineRule="exact" w:before="0" w:after="0"/>
        <w:ind w:left="1106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8"/>
        <w:numPr>
          <w:ilvl w:val="1"/>
          <w:numId w:val="1"/>
        </w:numPr>
        <w:tabs>
          <w:tab w:pos="1106" w:val="left" w:leader="none"/>
        </w:tabs>
        <w:spacing w:line="240" w:lineRule="exact" w:before="0" w:after="0"/>
        <w:ind w:left="1106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8"/>
        <w:numPr>
          <w:ilvl w:val="1"/>
          <w:numId w:val="1"/>
        </w:numPr>
        <w:tabs>
          <w:tab w:pos="1106" w:val="left" w:leader="none"/>
        </w:tabs>
        <w:spacing w:line="240" w:lineRule="exact" w:before="0" w:after="0"/>
        <w:ind w:left="1106" w:right="0" w:hanging="179"/>
        <w:jc w:val="left"/>
        <w:rPr>
          <w:sz w:val="20"/>
        </w:rPr>
      </w:pPr>
      <w:r>
        <w:rPr>
          <w:spacing w:val="-4"/>
        </w:rPr>
        <w:t>数据</w:t>
      </w:r>
      <w:r>
        <w:rPr>
          <w:spacing w:val="-2"/>
        </w:rPr>
        <w:t>注释</w:t>
      </w:r>
    </w:p>
    <w:p>
      <w:pPr>
        <w:pStyle w:val="P68B1DB1-ListParagraph8"/>
        <w:numPr>
          <w:ilvl w:val="1"/>
          <w:numId w:val="1"/>
        </w:numPr>
        <w:tabs>
          <w:tab w:pos="1106" w:val="left" w:leader="none"/>
        </w:tabs>
        <w:spacing w:line="228" w:lineRule="exact" w:before="0" w:after="0"/>
        <w:ind w:left="1106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2"/>
        <w:rPr>
          <w:sz w:val="19"/>
        </w:rPr>
      </w:pPr>
      <w:r>
        <w:br w:type="column"/>
      </w:r>
    </w:p>
    <w:p>
      <w:pPr>
        <w:spacing w:before="1"/>
        <w:ind w:left="14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203446</wp:posOffset>
                </wp:positionV>
                <wp:extent cx="866775" cy="732155"/>
                <wp:effectExtent l="0" t="0" r="0" b="0"/>
                <wp:wrapNone/>
                <wp:docPr id="61" name="组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组6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2" name="图像6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70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图形63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580" w:right="520"/>
          <w:cols w:num="3" w:equalWidth="0">
            <w:col w:w="2145" w:space="99"/>
            <w:col w:w="3256" w:space="129"/>
            <w:col w:w="5511"/>
          </w:cols>
        </w:sectPr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9" w:after="0"/>
        <w:ind w:left="31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3246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4" name="组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组64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5" name="图形65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7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图像7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2700" y="100825"/>
                            <a:ext cx="2380805" cy="2301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9" w:after="0"/>
        <w:ind w:left="319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42"/>
        <w:rPr>
          <w:sz w:val="19"/>
        </w:rPr>
      </w:pPr>
      <w:r>
        <w:br w:type="column"/>
      </w:r>
    </w:p>
    <w:p>
      <w:pPr>
        <w:spacing w:before="0"/>
        <w:ind w:left="14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580" w:right="520"/>
          <w:cols w:num="3" w:equalWidth="0">
            <w:col w:w="2560" w:space="472"/>
            <w:col w:w="1556" w:space="1319"/>
            <w:col w:w="5233"/>
          </w:cols>
        </w:sectPr>
      </w:pPr>
    </w:p>
    <w:p>
      <w:pPr>
        <w:pStyle w:val="BodyText"/>
        <w:rPr>
          <w:rFonts w:ascii="Tahoma"/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72" name="组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组72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3" name="图表73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7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文本框74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2"/>
                              </w:pPr>
                              <w:r>
                                <w:t>RFPulse2000A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06"/>
        <w:rPr>
          <w:rFonts w:ascii="Tahoma"/>
          <w:sz w:val="32"/>
        </w:rPr>
      </w:pPr>
    </w:p>
    <w:p>
      <w:pPr>
        <w:spacing w:line="372" w:lineRule="exact" w:before="1"/>
        <w:ind w:left="14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line="201" w:lineRule="exact" w:before="0"/>
        <w:ind w:left="14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3924985</wp:posOffset>
                </wp:positionH>
                <wp:positionV relativeFrom="paragraph">
                  <wp:posOffset>248156</wp:posOffset>
                </wp:positionV>
                <wp:extent cx="3427729" cy="5869305"/>
                <wp:effectExtent l="0" t="0" r="0" b="0"/>
                <wp:wrapNone/>
                <wp:docPr id="75" name="文本框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文本框75"/>
                      <wps:cNvSpPr txBox="1"/>
                      <wps:spPr>
                        <a:xfrm>
                          <a:off x="0" y="0"/>
                          <a:ext cx="3427729" cy="5869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D7C27"/>
                                </w:tcPr>
                                <w:p>
                                  <w:pPr>
                                    <w:pStyle w:val="P68B1DB1-TableParagraph14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每秒1次读数，最多每24小时1次读数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16，128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次阅读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151"/>
                                    <w:ind w:left="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LED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功能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rPr>
                                      <w:sz w:val="15"/>
                                    </w:rPr>
                                  </w:pPr>
                                  <w:r>
                                    <w:t>绿色LED每5秒闪烁一次，表示装置正在记录;蓝色LED每15秒闪烁一次，表示装置处于无线模式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>红色LED每1秒闪烁一次，指示报警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状态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t>立即和延迟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启动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1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包括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电池或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碱性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电池</w:t>
                                  </w:r>
                                  <w:r>
                                    <w:t xml:space="preserve">;用户可更换任何9 V电池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10分钟阅读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速率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下的典型5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显示：脉冲数/ 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秒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>软件：日期和时间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± 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分钟/月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303"/>
                                    <w:rPr>
                                      <w:sz w:val="15"/>
                                    </w:rPr>
                                  </w:pPr>
                                  <w:r>
                                    <w:t>USB转迷你USB，250，000波特用于独立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RFC 1000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用于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无线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操作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1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Windows XP SP3或更高版本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line="235" w:lineRule="auto" w:before="56"/>
                                    <w:ind w:right="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1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4.1.8.0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  <w:r>
                                    <w:t>安全软件版本4.1.7.0或更高版本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-20 ºC至+60 ºC（-4 ºF至+140 ºF），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0% RH至95% RH无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冷凝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3.5英寸x 3.0英寸x 0.95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英寸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(88.9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mm x 76.2 mm x 24.1 mm）-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限数据记录器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t>ABS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塑料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4.4盎司（125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0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t>美国（FCC）、加利福尼亚州（IC）、CE、韩国（KCC）、中国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（CMIIT）、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>日本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（LCIE）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43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0"/>
                                    <w:ind w:left="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7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报警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t>用户可配置高和低声音，屏幕上，电子邮件和文本（短信）报警。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235" w:lineRule="auto" w:before="44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t>报警延迟：可设置累积报警延迟，其中仅当设备记录了用户指定的数据持续时间时，设备才会激活报警（通过LED）。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声音报警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功能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3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读取高于/低于阈值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pacing w:val="-1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pacing w:val="-2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pacing w:val="-2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pacing w:val="-2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pacing w:val="-1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hyperlink r:id="rId17">
        <w:r>
          <w:rPr>
            <w:b/>
            <w:color w:val="002A5C"/>
            <w:spacing w:val="-4"/>
            <w:sz w:val="18"/>
          </w:rPr>
          <w:t>madgetech.com</w:t>
        </w:r>
      </w:hyperlink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15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63"/>
      </w:tblGrid>
      <w:tr>
        <w:trPr>
          <w:trHeight w:val="335" w:hRule="atLeast"/>
        </w:trPr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7C27"/>
          </w:tcPr>
          <w:p>
            <w:pPr>
              <w:pStyle w:val="P68B1DB1-TableParagraph22"/>
              <w:spacing w:before="52"/>
              <w:ind w:left="92"/>
              <w:rPr>
                <w:b/>
                <w:sz w:val="20"/>
              </w:rPr>
            </w:pPr>
            <w:r>
              <w:t>测量</w:t>
            </w:r>
          </w:p>
        </w:tc>
      </w:tr>
      <w:tr>
        <w:trPr>
          <w:trHeight w:val="2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8"/>
              <w:spacing w:before="57"/>
              <w:rPr>
                <w:b/>
                <w:sz w:val="15"/>
              </w:rPr>
            </w:pPr>
            <w:r>
              <w:t>测量</w:t>
            </w:r>
            <w:r>
              <w:rPr>
                <w:spacing w:val="-4"/>
              </w:rPr>
              <w:t>范围</w:t>
            </w:r>
          </w:p>
        </w:tc>
        <w:tc>
          <w:tcPr>
            <w:tcW w:w="3563" w:type="dxa"/>
            <w:tcBorders>
              <w:top w:val="nil"/>
            </w:tcBorders>
          </w:tcPr>
          <w:p>
            <w:pPr>
              <w:pStyle w:val="P68B1DB1-TableParagraph16"/>
              <w:spacing w:before="57"/>
              <w:ind w:left="80"/>
              <w:rPr>
                <w:sz w:val="15"/>
              </w:rPr>
            </w:pPr>
            <w:r>
              <w:rPr>
                <w:spacing w:val="-4"/>
              </w:rPr>
              <w:t xml:space="preserve">输入低720 mV，输入高&gt;1.070</w:t>
            </w:r>
            <w:r>
              <w:rPr>
                <w:spacing w:val="-10"/>
              </w:rPr>
              <w:t>V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0"/>
              <w:rPr>
                <w:b/>
                <w:sz w:val="15"/>
              </w:rPr>
            </w:pPr>
            <w:r>
              <w:t>决议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rPr>
                <w:spacing w:val="-4"/>
              </w:rPr>
              <w:t xml:space="preserve">&lt;= 10微秒</w:t>
            </w:r>
          </w:p>
        </w:tc>
      </w:tr>
      <w:tr>
        <w:trPr>
          <w:trHeight w:val="280" w:hRule="atLeast"/>
        </w:trPr>
        <w:tc>
          <w:tcPr>
            <w:tcW w:w="1710" w:type="dxa"/>
          </w:tcPr>
          <w:p>
            <w:pPr>
              <w:pStyle w:val="P68B1DB1-TableParagraph18"/>
              <w:rPr>
                <w:b/>
                <w:sz w:val="15"/>
              </w:rPr>
            </w:pPr>
            <w:r>
              <w:t>响应</w:t>
            </w:r>
            <w:r>
              <w:rPr>
                <w:spacing w:val="-4"/>
              </w:rPr>
              <w:t>时间</w:t>
            </w:r>
          </w:p>
        </w:tc>
        <w:tc>
          <w:tcPr>
            <w:tcW w:w="3563" w:type="dxa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rPr>
                <w:spacing w:val="-6"/>
              </w:rPr>
              <w:t>10</w:t>
            </w:r>
            <w:r>
              <w:rPr>
                <w:spacing w:val="-2"/>
              </w:rPr>
              <w:t>微秒</w:t>
            </w:r>
          </w:p>
        </w:tc>
      </w:tr>
    </w:tbl>
    <w:p>
      <w:pPr>
        <w:pStyle w:val="BodyText"/>
        <w:rPr>
          <w:sz w:val="14"/>
        </w:rPr>
      </w:pPr>
    </w:p>
    <w:tbl>
      <w:tblPr>
        <w:tblW w:w="0" w:type="auto"/>
        <w:jc w:val="left"/>
        <w:tblInd w:w="15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63"/>
      </w:tblGrid>
      <w:tr>
        <w:trPr>
          <w:trHeight w:val="335" w:hRule="atLeast"/>
        </w:trPr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7C27"/>
          </w:tcPr>
          <w:p>
            <w:pPr>
              <w:pStyle w:val="P68B1DB1-TableParagraph14"/>
              <w:spacing w:before="52"/>
              <w:ind w:left="92"/>
              <w:rPr>
                <w:b/>
                <w:sz w:val="20"/>
              </w:rPr>
            </w:pPr>
            <w:r>
              <w:t>无线</w:t>
            </w:r>
          </w:p>
        </w:tc>
      </w:tr>
      <w:tr>
        <w:trPr>
          <w:trHeight w:val="460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RF</w:t>
            </w:r>
            <w:r>
              <w:rPr>
                <w:spacing w:val="-2"/>
              </w:rPr>
              <w:t>频率</w:t>
            </w:r>
          </w:p>
        </w:tc>
        <w:tc>
          <w:tcPr>
            <w:tcW w:w="3563" w:type="dxa"/>
            <w:tcBorders>
              <w:top w:val="nil"/>
            </w:tcBorders>
          </w:tcPr>
          <w:p>
            <w:pPr>
              <w:pStyle w:val="P68B1DB1-TableParagraph16"/>
              <w:spacing w:line="235" w:lineRule="auto" w:before="56"/>
              <w:ind w:left="80"/>
              <w:rPr>
                <w:sz w:val="15"/>
              </w:rPr>
            </w:pPr>
            <w:r>
              <w:t xml:space="preserve">2.45 GHz IEEE 802.15.4超低功耗无线</w:t>
            </w:r>
            <w:r>
              <w:rPr>
                <w:spacing w:val="-2"/>
              </w:rPr>
              <w:t>收发器，具有完全双向通信功能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3"/>
              <w:rPr>
                <w:b/>
                <w:sz w:val="15"/>
              </w:rPr>
            </w:pPr>
            <w:r>
              <w:t>带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rPr>
                <w:spacing w:val="-4"/>
              </w:rPr>
              <w:t>ISM频段2.405-2.475</w:t>
            </w:r>
            <w:r>
              <w:rPr>
                <w:spacing w:val="-5"/>
              </w:rPr>
              <w:t>GHz</w:t>
            </w:r>
          </w:p>
        </w:tc>
      </w:tr>
      <w:tr>
        <w:trPr>
          <w:trHeight w:val="460" w:hRule="atLeast"/>
        </w:trPr>
        <w:tc>
          <w:tcPr>
            <w:tcW w:w="1710" w:type="dxa"/>
          </w:tcPr>
          <w:p>
            <w:pPr>
              <w:pStyle w:val="P68B1DB1-TableParagraph18"/>
              <w:spacing w:line="235" w:lineRule="auto" w:before="56"/>
              <w:ind w:right="147"/>
              <w:rPr>
                <w:b/>
                <w:sz w:val="15"/>
              </w:rPr>
            </w:pPr>
            <w:r>
              <w:t>最大输出</w:t>
            </w:r>
            <w:r>
              <w:rPr>
                <w:spacing w:val="-2"/>
              </w:rPr>
              <w:t>功率</w:t>
            </w:r>
          </w:p>
        </w:tc>
        <w:tc>
          <w:tcPr>
            <w:tcW w:w="3563" w:type="dxa"/>
          </w:tcPr>
          <w:p>
            <w:pPr>
              <w:pStyle w:val="P68B1DB1-TableParagraph16"/>
              <w:spacing w:before="143"/>
              <w:ind w:left="80"/>
              <w:rPr>
                <w:sz w:val="15"/>
              </w:rPr>
            </w:pPr>
            <w:r>
              <w:t xml:space="preserve">+0 dBm</w:t>
            </w:r>
            <w:r>
              <w:rPr>
                <w:spacing w:val="-2"/>
              </w:rPr>
              <w:t>典型值</w:t>
            </w:r>
          </w:p>
        </w:tc>
      </w:tr>
      <w:tr>
        <w:trPr>
          <w:trHeight w:val="46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spacing w:line="235" w:lineRule="auto" w:before="56"/>
              <w:rPr>
                <w:b/>
                <w:sz w:val="15"/>
              </w:rPr>
            </w:pPr>
            <w:r>
              <w:rPr>
                <w:spacing w:val="-2"/>
              </w:rPr>
              <w:t xml:space="preserve">接收器灵敏度（RFC 1000）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6"/>
              <w:spacing w:before="143"/>
              <w:ind w:left="80"/>
              <w:rPr>
                <w:sz w:val="15"/>
              </w:rPr>
            </w:pPr>
            <w:r>
              <w:t xml:space="preserve">-95 dBm</w:t>
            </w:r>
            <w:r>
              <w:rPr>
                <w:spacing w:val="-2"/>
              </w:rPr>
              <w:t>典型值</w:t>
            </w:r>
          </w:p>
        </w:tc>
      </w:tr>
      <w:tr>
        <w:trPr>
          <w:trHeight w:val="640" w:hRule="atLeast"/>
        </w:trPr>
        <w:tc>
          <w:tcPr>
            <w:tcW w:w="1710" w:type="dxa"/>
          </w:tcPr>
          <w:p>
            <w:pPr>
              <w:pStyle w:val="P68B1DB1-TableParagraph15"/>
              <w:spacing w:line="235" w:lineRule="auto" w:before="146"/>
              <w:ind w:right="147"/>
              <w:rPr>
                <w:b/>
                <w:sz w:val="15"/>
              </w:rPr>
            </w:pPr>
            <w:r>
              <w:rPr>
                <w:spacing w:val="-2"/>
              </w:rPr>
              <w:t>传输</w:t>
            </w:r>
            <w:r>
              <w:rPr>
                <w:spacing w:val="-2"/>
              </w:rPr>
              <w:t>距离</w:t>
            </w:r>
            <w:r>
              <w:t>（至数据记录仪）</w:t>
            </w:r>
          </w:p>
        </w:tc>
        <w:tc>
          <w:tcPr>
            <w:tcW w:w="3563" w:type="dxa"/>
          </w:tcPr>
          <w:p>
            <w:pPr>
              <w:pStyle w:val="P68B1DB1-TableParagraph16"/>
              <w:spacing w:line="182" w:lineRule="exact"/>
              <w:ind w:left="80"/>
              <w:rPr>
                <w:sz w:val="15"/>
              </w:rPr>
            </w:pPr>
            <w:r>
              <w:t xml:space="preserve">RFC1000-CE RFC1000-</w:t>
            </w:r>
            <w:r>
              <w:rPr>
                <w:spacing w:val="-2"/>
              </w:rPr>
              <w:t>IP69K</w:t>
            </w:r>
          </w:p>
          <w:p>
            <w:pPr>
              <w:pStyle w:val="P68B1DB1-TableParagraph16"/>
              <w:spacing w:line="235" w:lineRule="auto" w:before="2"/>
              <w:ind w:left="80" w:right="335"/>
              <w:rPr>
                <w:sz w:val="15"/>
              </w:rPr>
            </w:pPr>
            <w:r>
              <w:rPr>
                <w:spacing w:val="-2"/>
              </w:rPr>
              <w:t>最高2,000</w:t>
            </w:r>
            <w:r>
              <w:rPr>
                <w:spacing w:val="-2"/>
              </w:rPr>
              <w:t>英尺</w:t>
            </w:r>
            <w:r>
              <w:rPr>
                <w:spacing w:val="-2"/>
              </w:rPr>
              <w:t>户外</w:t>
            </w:r>
            <w:r>
              <w:rPr>
                <w:spacing w:val="-2"/>
              </w:rPr>
              <w:t>-</w:t>
            </w:r>
            <w:r>
              <w:rPr>
                <w:spacing w:val="-2"/>
              </w:rPr>
              <w:t>视线</w:t>
            </w:r>
            <w:r>
              <w:rPr>
                <w:spacing w:val="-2"/>
              </w:rPr>
              <w:t>不受阻碍，</w:t>
            </w:r>
            <w:r>
              <w:t>最大500英尺</w:t>
            </w:r>
            <w:r>
              <w:t>室内-典型的城市环境</w:t>
            </w:r>
          </w:p>
        </w:tc>
      </w:tr>
      <w:tr>
        <w:trPr>
          <w:trHeight w:val="1806" w:hRule="atLeast"/>
        </w:trPr>
        <w:tc>
          <w:tcPr>
            <w:tcW w:w="1710" w:type="dxa"/>
            <w:shd w:val="clear" w:color="auto" w:fill="E6E7E8"/>
          </w:tcPr>
          <w:p>
            <w:pPr>
              <w:pStyle w:val="TableParagraph"/>
              <w:spacing w:before="0"/>
              <w:ind w:left="0"/>
              <w:rPr>
                <w:sz w:val="15"/>
              </w:rPr>
            </w:pPr>
          </w:p>
          <w:p>
            <w:pPr>
              <w:pStyle w:val="TableParagraph"/>
              <w:spacing w:before="0"/>
              <w:ind w:left="0"/>
              <w:rPr>
                <w:sz w:val="15"/>
              </w:rPr>
            </w:pPr>
          </w:p>
          <w:p>
            <w:pPr>
              <w:pStyle w:val="TableParagraph"/>
              <w:spacing w:before="180"/>
              <w:ind w:left="0"/>
              <w:rPr>
                <w:sz w:val="15"/>
              </w:rPr>
            </w:pPr>
          </w:p>
          <w:p>
            <w:pPr>
              <w:pStyle w:val="P68B1DB1-TableParagraph15"/>
              <w:spacing w:line="235" w:lineRule="auto" w:before="0"/>
              <w:ind w:right="147"/>
              <w:rPr>
                <w:b/>
                <w:sz w:val="15"/>
              </w:rPr>
            </w:pPr>
            <w:r>
              <w:rPr>
                <w:spacing w:val="-2"/>
              </w:rPr>
              <w:t>传输</w:t>
            </w:r>
            <w:r>
              <w:rPr>
                <w:spacing w:val="-2"/>
              </w:rPr>
              <w:t>距离</w:t>
            </w:r>
            <w:r>
              <w:t xml:space="preserve">（到其他RFC 1000）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24"/>
              <w:spacing w:line="182" w:lineRule="exact"/>
              <w:ind w:left="80"/>
              <w:rPr>
                <w:sz w:val="15"/>
              </w:rPr>
            </w:pPr>
            <w:r>
              <w:t xml:space="preserve">RFC 1000</w:t>
            </w:r>
          </w:p>
          <w:p>
            <w:pPr>
              <w:pStyle w:val="P68B1DB1-TableParagraph16"/>
              <w:spacing w:line="235" w:lineRule="auto" w:before="2"/>
              <w:ind w:left="80" w:right="335"/>
              <w:rPr>
                <w:sz w:val="15"/>
              </w:rPr>
            </w:pPr>
            <w:r>
              <w:rPr>
                <w:spacing w:val="-2"/>
              </w:rPr>
              <w:t>最高4,000英尺</w:t>
            </w:r>
            <w:r>
              <w:rPr>
                <w:spacing w:val="-2"/>
              </w:rPr>
              <w:t>户外-视线不受阻碍，最大1,000英尺</w:t>
            </w:r>
            <w:r>
              <w:rPr>
                <w:spacing w:val="-2"/>
              </w:rPr>
              <w:t>室内-典型的城市环境</w:t>
            </w:r>
          </w:p>
          <w:p>
            <w:pPr>
              <w:pStyle w:val="P68B1DB1-TableParagraph16"/>
              <w:spacing w:line="182" w:lineRule="exact" w:before="41"/>
              <w:ind w:left="80"/>
              <w:rPr>
                <w:sz w:val="15"/>
              </w:rPr>
            </w:pPr>
            <w:r>
              <w:t>RFC1000-</w:t>
            </w:r>
            <w:r>
              <w:rPr>
                <w:spacing w:val="-5"/>
              </w:rPr>
              <w:t>CE</w:t>
            </w:r>
          </w:p>
          <w:p>
            <w:pPr>
              <w:pStyle w:val="P68B1DB1-TableParagraph16"/>
              <w:spacing w:line="235" w:lineRule="auto" w:before="1"/>
              <w:ind w:left="80" w:right="335"/>
              <w:rPr>
                <w:sz w:val="15"/>
              </w:rPr>
            </w:pPr>
            <w:r>
              <w:rPr>
                <w:spacing w:val="-2"/>
              </w:rPr>
              <w:t>最高2,500</w:t>
            </w:r>
            <w:r>
              <w:rPr>
                <w:spacing w:val="-2"/>
              </w:rPr>
              <w:t>英尺</w:t>
            </w:r>
            <w:r>
              <w:rPr>
                <w:spacing w:val="-2"/>
              </w:rPr>
              <w:t>户外</w:t>
            </w:r>
            <w:r>
              <w:rPr>
                <w:spacing w:val="-2"/>
              </w:rPr>
              <w:t>-</w:t>
            </w:r>
            <w:r>
              <w:rPr>
                <w:spacing w:val="-2"/>
              </w:rPr>
              <w:t>视线</w:t>
            </w:r>
            <w:r>
              <w:rPr>
                <w:spacing w:val="-2"/>
              </w:rPr>
              <w:t>无障碍</w:t>
            </w:r>
            <w:r>
              <w:t>最大700英尺</w:t>
            </w:r>
            <w:r>
              <w:t>室内-典型的城市环境</w:t>
            </w:r>
          </w:p>
          <w:p>
            <w:pPr>
              <w:pStyle w:val="P68B1DB1-TableParagraph16"/>
              <w:spacing w:line="182" w:lineRule="exact" w:before="42"/>
              <w:ind w:left="80"/>
              <w:rPr>
                <w:sz w:val="15"/>
              </w:rPr>
            </w:pPr>
            <w:r>
              <w:t>RFC1000-</w:t>
            </w:r>
            <w:r>
              <w:rPr>
                <w:spacing w:val="-2"/>
              </w:rPr>
              <w:t>IP69K</w:t>
            </w:r>
          </w:p>
          <w:p>
            <w:pPr>
              <w:pStyle w:val="P68B1DB1-TableParagraph16"/>
              <w:spacing w:line="235" w:lineRule="auto" w:before="1"/>
              <w:ind w:left="80" w:right="335"/>
              <w:rPr>
                <w:sz w:val="15"/>
              </w:rPr>
            </w:pPr>
            <w:r>
              <w:rPr>
                <w:spacing w:val="-2"/>
              </w:rPr>
              <w:t>最高4,000英尺</w:t>
            </w:r>
            <w:r>
              <w:rPr>
                <w:spacing w:val="-2"/>
              </w:rPr>
              <w:t>户外-视线不受阻碍，最大1,000英尺</w:t>
            </w:r>
            <w:r>
              <w:rPr>
                <w:spacing w:val="-2"/>
              </w:rPr>
              <w:t>室内-典型的城市环境</w:t>
            </w:r>
          </w:p>
        </w:tc>
      </w:tr>
    </w:tbl>
    <w:p>
      <w:pPr>
        <w:spacing w:line="208" w:lineRule="auto" w:before="218"/>
        <w:ind w:left="140" w:right="5660" w:firstLine="0"/>
        <w:jc w:val="left"/>
        <w:rPr>
          <w:sz w:val="15"/>
        </w:rPr>
        <w:pStyle w:val="P68B1DB1-Normal25"/>
      </w:pPr>
      <w:r>
        <w:rPr>
          <w:color w:val="E12726"/>
          <w:spacing w:val="-2"/>
        </w:rPr>
        <w:t>电池泄漏：</w:t>
      </w:r>
      <w:r>
        <w:rPr>
          <w:color w:val="231F20"/>
          <w:spacing w:val="-2"/>
        </w:rPr>
        <w:t>如果电池被拆开、短路</w:t>
      </w:r>
      <w:r>
        <w:rPr>
          <w:color w:val="231F20"/>
        </w:rPr>
        <w:t>、充电、连接在一起、与旧电池或其他电池混合、暴露在火灾或高温下，电池可能会泄漏、燃烧或爆炸。</w:t>
      </w:r>
      <w:r>
        <w:rPr>
          <w:color w:val="231F20"/>
        </w:rPr>
        <w:t>立即丢弃用过的电池。</w:t>
      </w:r>
      <w:r>
        <w:rPr>
          <w:color w:val="231F20"/>
        </w:rPr>
        <w:t>放在儿童够不到的地方。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63"/>
        <w:rPr>
          <w:sz w:val="15"/>
        </w:rPr>
      </w:pPr>
    </w:p>
    <w:p>
      <w:pPr>
        <w:pStyle w:val="P68B1DB1-Heading126"/>
        <w:ind w:left="13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4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>RFPulse2000A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901420-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无线脉冲数据记录仪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 xml:space="preserve">RFC 1000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901383-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无线射频接收器/中继器。</w:t>
            </w:r>
            <w:r>
              <w:rPr>
                <w:spacing w:val="-2"/>
              </w:rPr>
              <w:t>包括USB到迷你USB适配器电源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rPr>
                <w:spacing w:val="-2"/>
              </w:rPr>
              <w:t>RFC1000-</w:t>
            </w:r>
            <w:r>
              <w:rPr>
                <w:spacing w:val="-7"/>
              </w:rPr>
              <w:t>CE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901338-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无线射频收发器/中继器，欧洲CE认证</w:t>
            </w:r>
            <w:r>
              <w:rPr>
                <w:spacing w:val="-2"/>
              </w:rPr>
              <w:t>包括USB到迷你USB适配器电源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rPr>
                <w:spacing w:val="-2"/>
              </w:rPr>
              <w:t>RFC1000-</w:t>
            </w:r>
            <w:r>
              <w:rPr>
                <w:spacing w:val="-4"/>
              </w:rPr>
              <w:t>IP69K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901389-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4"/>
              <w:rPr>
                <w:sz w:val="15"/>
              </w:rPr>
            </w:pPr>
            <w:r>
              <w:t xml:space="preserve">无线射频收发器/中继器，防溅，IP 69 K等级。包括USB到迷你USB适配器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t>RFC1000云</w:t>
            </w:r>
            <w:r>
              <w:rPr>
                <w:spacing w:val="-2"/>
              </w:rPr>
              <w:t>中继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901900-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MadgeTech云服务数据日志</w:t>
            </w:r>
            <w:r>
              <w:rPr>
                <w:spacing w:val="-5"/>
              </w:rPr>
              <w:t>中心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RFC 1000-CE云</w:t>
            </w:r>
            <w:r>
              <w:rPr>
                <w:spacing w:val="-2"/>
              </w:rPr>
              <w:t>中继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901901-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MadgeTech云服务数据记录中心，欧洲CE认证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t>电源</w:t>
            </w:r>
            <w:r>
              <w:rPr>
                <w:spacing w:val="-2"/>
              </w:rPr>
              <w:t>适配器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901839-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替换USB通用电源</w:t>
            </w:r>
            <w:r>
              <w:rPr>
                <w:spacing w:val="-2"/>
              </w:rPr>
              <w:t>适配器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rPr>
                <w:spacing w:val="-2"/>
              </w:rPr>
              <w:t>U9VL-</w:t>
            </w:r>
            <w:r>
              <w:rPr>
                <w:spacing w:val="-10"/>
                <w:w w:val="125"/>
              </w:rPr>
              <w:t>J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901804-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 xml:space="preserve">RFPulse 2000A的更换电池</w:t>
            </w:r>
          </w:p>
        </w:tc>
      </w:tr>
    </w:tbl>
    <w:p>
      <w:pPr>
        <w:pStyle w:val="BodyText"/>
        <w:spacing w:before="216"/>
        <w:rPr>
          <w:sz w:val="26"/>
        </w:rPr>
      </w:pPr>
    </w:p>
    <w:p>
      <w:pPr>
        <w:pStyle w:val="P68B1DB1-ListParagraph27"/>
        <w:numPr>
          <w:ilvl w:val="0"/>
          <w:numId w:val="2"/>
        </w:numPr>
        <w:tabs>
          <w:tab w:pos="248" w:val="left" w:leader="none"/>
        </w:tabs>
        <w:spacing w:line="240" w:lineRule="auto" w:before="0" w:after="0"/>
        <w:ind w:left="248" w:right="0" w:hanging="144"/>
        <w:jc w:val="left"/>
        <w:rPr>
          <w:rFonts w:ascii="Arial" w:hAnsi="Arial"/>
          <w:sz w:val="24"/>
        </w:rPr>
      </w:pPr>
      <w:r>
        <w:t xml:space="preserve">电话：+86 755-8420 0058 ■传真：+86 755-2822 5583 ■</w:t>
      </w:r>
      <w:hyperlink r:id="rId18">
        <w:r>
          <w:t>E-mail:sales@eofirm.com</w:t>
        </w:r>
      </w:hyperlink>
      <w:r>
        <w:rPr>
          <w:spacing w:val="-2"/>
        </w:rPr>
        <w:t>■</w:t>
      </w:r>
      <w:hyperlink r:id="rId19">
        <w:r>
          <w:rPr>
            <w:spacing w:val="-2"/>
          </w:rPr>
          <w:t>http://www.eofirm.com</w:t>
        </w:r>
      </w:hyperlink>
    </w:p>
    <w:p>
      <w:pPr>
        <w:pStyle w:val="BodyText"/>
        <w:spacing w:before="129"/>
        <w:rPr>
          <w:rFonts w:ascii="Arial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458584</wp:posOffset>
                </wp:positionH>
                <wp:positionV relativeFrom="paragraph">
                  <wp:posOffset>243192</wp:posOffset>
                </wp:positionV>
                <wp:extent cx="1827530" cy="320675"/>
                <wp:effectExtent l="0" t="0" r="0" b="0"/>
                <wp:wrapTopAndBottom/>
                <wp:docPr id="76" name="组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组76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7" name="图形77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图形78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图形79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sectPr>
      <w:pgSz w:w="12240" w:h="15840"/>
      <w:pgMar w:top="280" w:bottom="0" w:left="5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■"/>
      <w:lvlJc w:val="left"/>
      <w:pPr>
        <w:ind w:left="250" w:hanging="14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1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6" w:hanging="1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4" w:hanging="1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2" w:hanging="1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1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8" w:hanging="1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6" w:hanging="1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14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0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5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9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3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76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"/>
      <w:ind w:left="125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line="706" w:lineRule="exact"/>
      <w:ind w:left="14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ind w:left="304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spacing w:val="-2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sz w:val="2"/>
    </w:rPr>
  </w:style>
  <w:style w:type="paragraph" w:styleId="P68B1DB1-BodyText5">
    <w:name w:val="P68B1DB1-BodyText5"/>
    <w:basedOn w:val="BodyText"/>
    <w:rPr>
      <w:rFonts w:ascii="Tahoma"/>
    </w:rPr>
  </w:style>
  <w:style w:type="paragraph" w:styleId="P68B1DB1-Normal6">
    <w:name w:val="P68B1DB1-Normal6"/>
    <w:basedOn w:val="Normal"/>
    <w:rPr>
      <w:b/>
      <w:color w:val="FFFFFF"/>
      <w:spacing w:val="-10"/>
      <w:sz w:val="21"/>
    </w:rPr>
  </w:style>
  <w:style w:type="paragraph" w:styleId="P68B1DB1-Heading17">
    <w:name w:val="P68B1DB1-Heading17"/>
    <w:basedOn w:val="Heading1"/>
    <w:rPr>
      <w:color w:val="002A5C"/>
      <w:spacing w:val="-2"/>
      <w:w w:val="110"/>
    </w:rPr>
  </w:style>
  <w:style w:type="paragraph" w:styleId="P68B1DB1-ListParagraph8">
    <w:name w:val="P68B1DB1-ListParagraph8"/>
    <w:basedOn w:val="ListParagraph"/>
    <w:rPr>
      <w:color w:val="414042"/>
      <w:sz w:val="20"/>
    </w:rPr>
  </w:style>
  <w:style w:type="paragraph" w:styleId="P68B1DB1-ListParagraph9">
    <w:name w:val="P68B1DB1-ListParagraph9"/>
    <w:basedOn w:val="ListParagraph"/>
    <w:rPr>
      <w:color w:val="414042"/>
      <w:spacing w:val="-2"/>
      <w:sz w:val="20"/>
    </w:rPr>
  </w:style>
  <w:style w:type="paragraph" w:styleId="P68B1DB1-Heading110">
    <w:name w:val="P68B1DB1-Heading110"/>
    <w:basedOn w:val="Heading1"/>
    <w:rPr>
      <w:color w:val="002A5C"/>
      <w:spacing w:val="-2"/>
      <w:w w:val="105"/>
    </w:rPr>
  </w:style>
  <w:style w:type="paragraph" w:styleId="P68B1DB1-Normal11">
    <w:name w:val="P68B1DB1-Normal11"/>
    <w:basedOn w:val="Normal"/>
    <w:rPr>
      <w:rFonts w:ascii="Tahoma"/>
      <w:color w:val="898A8D"/>
      <w:spacing w:val="-2"/>
      <w:w w:val="105"/>
      <w:sz w:val="19"/>
    </w:rPr>
  </w:style>
  <w:style w:type="paragraph" w:styleId="P68B1DB1-Normal12">
    <w:name w:val="P68B1DB1-Normal12"/>
    <w:basedOn w:val="Normal"/>
    <w:rPr>
      <w:rFonts w:ascii="Tahoma"/>
      <w:color w:val="FFFFFF"/>
      <w:spacing w:val="-2"/>
      <w:sz w:val="36"/>
    </w:rPr>
  </w:style>
  <w:style w:type="paragraph" w:styleId="P68B1DB1-Normal13">
    <w:name w:val="P68B1DB1-Normal13"/>
    <w:basedOn w:val="Normal"/>
    <w:rPr>
      <w:color w:val="002A5C"/>
      <w:spacing w:val="-2"/>
      <w:w w:val="105"/>
      <w:sz w:val="32"/>
    </w:rPr>
  </w:style>
  <w:style w:type="paragraph" w:styleId="P68B1DB1-TableParagraph14">
    <w:name w:val="P68B1DB1-TableParagraph14"/>
    <w:basedOn w:val="TableParagraph"/>
    <w:rPr>
      <w:b/>
      <w:color w:val="FFFFFF"/>
      <w:spacing w:val="-2"/>
      <w:w w:val="105"/>
      <w:sz w:val="20"/>
    </w:rPr>
  </w:style>
  <w:style w:type="paragraph" w:styleId="P68B1DB1-TableParagraph15">
    <w:name w:val="P68B1DB1-TableParagraph15"/>
    <w:basedOn w:val="TableParagraph"/>
    <w:rPr>
      <w:b/>
      <w:color w:val="231F20"/>
      <w:w w:val="105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spacing w:val="-2"/>
      <w:sz w:val="15"/>
    </w:rPr>
  </w:style>
  <w:style w:type="paragraph" w:styleId="P68B1DB1-TableParagraph18">
    <w:name w:val="P68B1DB1-TableParagraph18"/>
    <w:basedOn w:val="TableParagraph"/>
    <w:rPr>
      <w:b/>
      <w:color w:val="231F20"/>
      <w:sz w:val="15"/>
    </w:rPr>
  </w:style>
  <w:style w:type="paragraph" w:styleId="P68B1DB1-TableParagraph19">
    <w:name w:val="P68B1DB1-TableParagraph19"/>
    <w:basedOn w:val="TableParagraph"/>
    <w:rPr>
      <w:color w:val="231F20"/>
      <w:spacing w:val="-5"/>
      <w:sz w:val="15"/>
    </w:rPr>
  </w:style>
  <w:style w:type="paragraph" w:styleId="P68B1DB1-TableParagraph20">
    <w:name w:val="P68B1DB1-TableParagraph20"/>
    <w:basedOn w:val="TableParagraph"/>
    <w:rPr>
      <w:b/>
      <w:color w:val="231F20"/>
      <w:spacing w:val="-2"/>
      <w:w w:val="105"/>
      <w:sz w:val="15"/>
    </w:rPr>
  </w:style>
  <w:style w:type="paragraph" w:styleId="P68B1DB1-TableParagraph21">
    <w:name w:val="P68B1DB1-TableParagraph21"/>
    <w:basedOn w:val="TableParagraph"/>
    <w:rPr>
      <w:color w:val="231F20"/>
      <w:w w:val="105"/>
      <w:sz w:val="15"/>
    </w:rPr>
  </w:style>
  <w:style w:type="paragraph" w:styleId="P68B1DB1-TableParagraph22">
    <w:name w:val="P68B1DB1-TableParagraph22"/>
    <w:basedOn w:val="TableParagraph"/>
    <w:rPr>
      <w:b/>
      <w:color w:val="FFFFFF"/>
      <w:spacing w:val="-2"/>
      <w:sz w:val="20"/>
    </w:rPr>
  </w:style>
  <w:style w:type="paragraph" w:styleId="P68B1DB1-TableParagraph23">
    <w:name w:val="P68B1DB1-TableParagraph23"/>
    <w:basedOn w:val="TableParagraph"/>
    <w:rPr>
      <w:b/>
      <w:color w:val="231F20"/>
      <w:spacing w:val="-4"/>
      <w:w w:val="105"/>
      <w:sz w:val="15"/>
    </w:rPr>
  </w:style>
  <w:style w:type="paragraph" w:styleId="P68B1DB1-TableParagraph24">
    <w:name w:val="P68B1DB1-TableParagraph24"/>
    <w:basedOn w:val="TableParagraph"/>
    <w:rPr>
      <w:color w:val="231F20"/>
      <w:spacing w:val="-2"/>
      <w:sz w:val="15"/>
    </w:rPr>
  </w:style>
  <w:style w:type="paragraph" w:styleId="P68B1DB1-Normal25">
    <w:name w:val="P68B1DB1-Normal25"/>
    <w:basedOn w:val="Normal"/>
    <w:rPr>
      <w:sz w:val="15"/>
    </w:rPr>
  </w:style>
  <w:style w:type="paragraph" w:styleId="P68B1DB1-Heading126">
    <w:name w:val="P68B1DB1-Heading126"/>
    <w:basedOn w:val="Heading1"/>
    <w:rPr>
      <w:color w:val="002A5C"/>
    </w:rPr>
  </w:style>
  <w:style w:type="paragraph" w:styleId="P68B1DB1-ListParagraph27">
    <w:name w:val="P68B1DB1-ListParagraph27"/>
    <w:basedOn w:val="ListParagraph"/>
    <w:rPr>
      <w:rFonts w:ascii="Arial" w:hAnsi="Arial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://www.madgetech.com/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2024-11-11T03:25:14Z</dcterms:created>
  <dcterms:modified xsi:type="dcterms:W3CDTF">2024-11-11T03:25:14Z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17.0</vt:lpwstr>
  </property>
</Properties>
</file>