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spacing w:line="242" w:lineRule="auto" w:before="226"/>
        <w:ind w:left="200" w:right="7548" w:firstLine="0"/>
        <w:jc w:val="left"/>
        <w:rPr>
          <w:sz w:val="36"/>
        </w:rPr>
        <w:pStyle w:val="P68B1DB1-Normal1"/>
      </w:pPr>
      <w:r>
        <w:rPr>
          <w:w w:val="95"/>
          <w:sz w:val="44"/>
        </w:rPr>
        <w:t>pH加固系列</w:t>
      </w:r>
      <w:r>
        <w:rPr>
          <w:sz w:val="36"/>
        </w:rPr>
        <w:t>pH电极和电缆组件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1"/>
        </w:rPr>
      </w:pPr>
    </w:p>
    <w:p>
      <w:pPr>
        <w:spacing w:after="0"/>
        <w:rPr>
          <w:sz w:val="21"/>
        </w:rPr>
        <w:sectPr>
          <w:type w:val="continuous"/>
          <w:pgSz w:w="12240" w:h="15840"/>
          <w:pgMar w:top="0" w:bottom="0" w:left="260" w:right="260"/>
        </w:sectPr>
      </w:pPr>
    </w:p>
    <w:p>
      <w:pPr>
        <w:spacing w:before="113"/>
        <w:ind w:left="200" w:right="0" w:firstLine="0"/>
        <w:jc w:val="left"/>
        <w:rPr>
          <w:sz w:val="15"/>
        </w:rPr>
        <w:pStyle w:val="P68B1DB1-Normal2"/>
      </w:pPr>
      <w:r>
        <w:t>特征</w:t>
      </w:r>
    </w:p>
    <w:p>
      <w:pPr>
        <w:pStyle w:val="P68B1DB1-ListParagraph3"/>
        <w:numPr>
          <w:ilvl w:val="0"/>
          <w:numId w:val="1"/>
        </w:numPr>
        <w:tabs>
          <w:tab w:pos="381" w:val="left" w:leader="none"/>
        </w:tabs>
        <w:spacing w:line="240" w:lineRule="auto" w:before="66" w:after="0"/>
        <w:ind w:left="380" w:right="0" w:hanging="181"/>
        <w:jc w:val="left"/>
        <w:rPr>
          <w:sz w:val="15"/>
        </w:rPr>
      </w:pPr>
      <w:r>
        <w:t>精密浸没式pH电极</w:t>
      </w:r>
    </w:p>
    <w:p>
      <w:pPr>
        <w:pStyle w:val="P68B1DB1-ListParagraph3"/>
        <w:numPr>
          <w:ilvl w:val="0"/>
          <w:numId w:val="1"/>
        </w:numPr>
        <w:tabs>
          <w:tab w:pos="381" w:val="left" w:leader="none"/>
        </w:tabs>
        <w:spacing w:line="240" w:lineRule="auto" w:before="66" w:after="0"/>
        <w:ind w:left="380" w:right="0" w:hanging="181"/>
        <w:jc w:val="left"/>
        <w:rPr>
          <w:sz w:val="15"/>
        </w:rPr>
      </w:pPr>
      <w:r>
        <w:t>CPVC设计</w:t>
      </w:r>
    </w:p>
    <w:p>
      <w:pPr>
        <w:pStyle w:val="P68B1DB1-ListParagraph3"/>
        <w:numPr>
          <w:ilvl w:val="0"/>
          <w:numId w:val="1"/>
        </w:numPr>
        <w:tabs>
          <w:tab w:pos="381" w:val="left" w:leader="none"/>
        </w:tabs>
        <w:spacing w:line="240" w:lineRule="auto" w:before="65" w:after="0"/>
        <w:ind w:left="380" w:right="0" w:hanging="181"/>
        <w:jc w:val="left"/>
        <w:rPr>
          <w:sz w:val="15"/>
        </w:rPr>
      </w:pPr>
      <w:r>
        <w:t>直角回转闩锁机构</w:t>
      </w:r>
    </w:p>
    <w:p>
      <w:pPr>
        <w:pStyle w:val="P68B1DB1-ListParagraph3"/>
        <w:numPr>
          <w:ilvl w:val="0"/>
          <w:numId w:val="1"/>
        </w:numPr>
        <w:tabs>
          <w:tab w:pos="381" w:val="left" w:leader="none"/>
        </w:tabs>
        <w:spacing w:line="331" w:lineRule="auto" w:before="66" w:after="0"/>
        <w:ind w:left="380" w:right="625" w:hanging="180"/>
        <w:jc w:val="left"/>
        <w:rPr>
          <w:sz w:val="15"/>
        </w:rPr>
      </w:pPr>
      <w:r>
        <w:t>使用耐酸碱ATC电缆进行自动温度补偿，或</w:t>
      </w:r>
    </w:p>
    <w:p>
      <w:pPr>
        <w:spacing w:line="173" w:lineRule="exact" w:before="0"/>
        <w:ind w:left="380" w:right="0" w:firstLine="0"/>
        <w:jc w:val="left"/>
        <w:rPr>
          <w:sz w:val="15"/>
        </w:rPr>
        <w:pStyle w:val="P68B1DB1-Normal2"/>
      </w:pPr>
      <w:r>
        <w:t>带RTD探头的pH加固型电缆</w:t>
      </w:r>
    </w:p>
    <w:p>
      <w:pPr>
        <w:pStyle w:val="P68B1DB1-ListParagraph3"/>
        <w:numPr>
          <w:ilvl w:val="0"/>
          <w:numId w:val="1"/>
        </w:numPr>
        <w:tabs>
          <w:tab w:pos="381" w:val="left" w:leader="none"/>
        </w:tabs>
        <w:spacing w:line="331" w:lineRule="auto" w:before="66" w:after="0"/>
        <w:ind w:left="380" w:right="558" w:hanging="180"/>
        <w:jc w:val="left"/>
        <w:rPr>
          <w:sz w:val="15"/>
        </w:rPr>
      </w:pPr>
      <w:r>
        <w:t>手动温度补偿使用pH加固电缆，</w:t>
      </w:r>
    </w:p>
    <w:p>
      <w:pPr>
        <w:spacing w:line="331" w:lineRule="auto" w:before="0"/>
        <w:ind w:left="380" w:right="380" w:firstLine="0"/>
        <w:jc w:val="left"/>
        <w:rPr>
          <w:sz w:val="15"/>
        </w:rPr>
        <w:pStyle w:val="P68B1DB1-Normal2"/>
      </w:pPr>
      <w:r>
        <w:t>内置电阻，模拟应用温度</w:t>
      </w:r>
    </w:p>
    <w:p>
      <w:pPr>
        <w:pStyle w:val="BodyText"/>
        <w:spacing w:before="6"/>
        <w:rPr>
          <w:sz w:val="20"/>
        </w:rPr>
      </w:pPr>
    </w:p>
    <w:p>
      <w:pPr>
        <w:spacing w:before="0"/>
        <w:ind w:left="200" w:right="0" w:firstLine="0"/>
        <w:jc w:val="left"/>
        <w:rPr>
          <w:sz w:val="15"/>
        </w:rPr>
        <w:pStyle w:val="P68B1DB1-Normal2"/>
      </w:pPr>
      <w:r>
        <w:t>应用</w:t>
      </w:r>
    </w:p>
    <w:p>
      <w:pPr>
        <w:pStyle w:val="P68B1DB1-ListParagraph4"/>
        <w:numPr>
          <w:ilvl w:val="0"/>
          <w:numId w:val="1"/>
        </w:numPr>
        <w:tabs>
          <w:tab w:pos="381" w:val="left" w:leader="none"/>
        </w:tabs>
        <w:spacing w:line="240" w:lineRule="auto" w:before="66" w:after="0"/>
        <w:ind w:left="380" w:right="0" w:hanging="181"/>
        <w:jc w:val="left"/>
        <w:rPr>
          <w:sz w:val="15"/>
        </w:rPr>
      </w:pPr>
      <w:r>
        <w:t>鼓</w:t>
      </w:r>
    </w:p>
    <w:p>
      <w:pPr>
        <w:pStyle w:val="P68B1DB1-ListParagraph3"/>
        <w:numPr>
          <w:ilvl w:val="0"/>
          <w:numId w:val="1"/>
        </w:numPr>
        <w:tabs>
          <w:tab w:pos="381" w:val="left" w:leader="none"/>
        </w:tabs>
        <w:spacing w:line="240" w:lineRule="auto" w:before="66" w:after="0"/>
        <w:ind w:left="380" w:right="0" w:hanging="181"/>
        <w:jc w:val="left"/>
        <w:rPr>
          <w:sz w:val="15"/>
        </w:rPr>
      </w:pPr>
      <w:r>
        <w:t>坦克</w:t>
      </w:r>
    </w:p>
    <w:p>
      <w:pPr>
        <w:pStyle w:val="P68B1DB1-ListParagraph5"/>
        <w:numPr>
          <w:ilvl w:val="0"/>
          <w:numId w:val="1"/>
        </w:numPr>
        <w:tabs>
          <w:tab w:pos="381" w:val="left" w:leader="none"/>
        </w:tabs>
        <w:spacing w:line="240" w:lineRule="auto" w:before="66" w:after="0"/>
        <w:ind w:left="380" w:right="0" w:hanging="181"/>
        <w:jc w:val="left"/>
        <w:rPr>
          <w:sz w:val="15"/>
        </w:rPr>
      </w:pPr>
      <w:r>
        <w:t>溪流，河流</w:t>
      </w:r>
    </w:p>
    <w:p>
      <w:pPr>
        <w:pStyle w:val="P68B1DB1-ListParagraph5"/>
        <w:numPr>
          <w:ilvl w:val="0"/>
          <w:numId w:val="1"/>
        </w:numPr>
        <w:tabs>
          <w:tab w:pos="381" w:val="left" w:leader="none"/>
        </w:tabs>
        <w:spacing w:line="240" w:lineRule="auto" w:before="65" w:after="0"/>
        <w:ind w:left="380" w:right="0" w:hanging="181"/>
        <w:jc w:val="left"/>
        <w:rPr>
          <w:sz w:val="15"/>
        </w:rPr>
      </w:pPr>
      <w:r>
        <w:t>池塘、湖泊</w:t>
      </w:r>
    </w:p>
    <w:p>
      <w:pPr>
        <w:pStyle w:val="BodyText"/>
        <w:spacing w:line="297" w:lineRule="auto" w:before="103"/>
        <w:ind w:left="200" w:right="38"/>
        <w:jc w:val="both"/>
      </w:pPr>
      <w:r>
        <w:br w:type="column"/>
      </w:r>
      <w:r>
        <w:rPr>
          <w:color w:val="231F20"/>
        </w:rPr>
        <w:t>pH加固型电极是一种潜水式CPVC，适用于监测桶、罐或溪流等户外应用。</w:t>
      </w:r>
      <w:r>
        <w:rPr>
          <w:color w:val="231F20"/>
        </w:rPr>
        <w:t>电极具有快速闩锁机制，只需旋转四分之一圈即可将其插入BNC连接器</w:t>
      </w:r>
    </w:p>
    <w:p>
      <w:pPr>
        <w:pStyle w:val="BodyText"/>
        <w:spacing w:before="8"/>
        <w:rPr>
          <w:sz w:val="22"/>
        </w:rPr>
      </w:pPr>
    </w:p>
    <w:p>
      <w:pPr>
        <w:pStyle w:val="P68B1DB1-BodyText6"/>
        <w:spacing w:line="297" w:lineRule="auto"/>
        <w:ind w:left="200" w:right="38"/>
        <w:jc w:val="both"/>
      </w:pPr>
      <w:r>
        <w:t xml:space="preserve">与MadgeTech pH记录仪一起使用时，需要电缆组件和RTD温度参考。有两种安装- ING装配选项。pH-Rugged ATC电缆安装组件直接连接到pH-Rugged电极，并具有内置RTD探头，提供自动温度补偿（ATC）。</w:t>
      </w:r>
      <w:r>
        <w:t xml:space="preserve">pH加固型电缆连接到pH加固型电极，可与外部RTD探头一起使用，也可与MadgeTech pH记录仪随附的电阻器套件一起使用</w:t>
      </w:r>
    </w:p>
    <w:p>
      <w:pPr>
        <w:pStyle w:val="BodyText"/>
        <w:spacing w:before="1"/>
        <w:rPr>
          <w:sz w:val="23"/>
        </w:rPr>
      </w:pPr>
    </w:p>
    <w:p>
      <w:pPr>
        <w:pStyle w:val="P68B1DB1-BodyText6"/>
        <w:spacing w:line="297" w:lineRule="auto"/>
        <w:ind w:left="200" w:right="38"/>
        <w:jc w:val="both"/>
      </w:pPr>
      <w:r>
        <w:t>自动温度补偿是首选，因为它提供最佳的准确性。当不需要ATC的精度和准确度时，使用随附的电阻器套件来模拟应用的温度，以最大限度地减少误差。</w:t>
      </w:r>
    </w:p>
    <w:p>
      <w:pPr>
        <w:pStyle w:val="BodyText"/>
        <w:rPr>
          <w:sz w:val="16"/>
        </w:rPr>
      </w:pPr>
      <w:r>
        <w:br w:type="column"/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"/>
      </w:pPr>
    </w:p>
    <w:p>
      <w:pPr>
        <w:spacing w:before="1"/>
        <w:ind w:left="212" w:right="696" w:firstLine="0"/>
        <w:jc w:val="center"/>
        <w:rPr>
          <w:sz w:val="14"/>
        </w:rPr>
        <w:pStyle w:val="P68B1DB1-Normal7"/>
      </w:pPr>
      <w:r>
        <w:t>耐酸碱电极</w:t>
      </w:r>
    </w:p>
    <w:p>
      <w:pPr>
        <w:spacing w:before="5"/>
        <w:ind w:left="212" w:right="696" w:firstLine="0"/>
        <w:jc w:val="center"/>
        <w:rPr>
          <w:sz w:val="14"/>
        </w:rPr>
        <w:pStyle w:val="P68B1DB1-Normal7"/>
      </w:pPr>
      <w:r>
        <w:t xml:space="preserve">浸没式CPVC pH电极</w:t>
      </w:r>
    </w:p>
    <w:p>
      <w:pPr>
        <w:spacing w:before="5"/>
        <w:ind w:left="212" w:right="696" w:firstLine="0"/>
        <w:jc w:val="center"/>
        <w:rPr>
          <w:sz w:val="14"/>
        </w:rPr>
        <w:pStyle w:val="P68B1DB1-Normal8"/>
      </w:pPr>
      <w:r>
        <w:t>**6个月</w:t>
      </w:r>
      <w:r>
        <w:rPr>
          <w:w w:val="105"/>
        </w:rPr>
        <w:t>至</w:t>
      </w:r>
      <w:r>
        <w:t xml:space="preserve">1年预期寿命 **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9"/>
        </w:rPr>
      </w:pPr>
    </w:p>
    <w:p>
      <w:pPr>
        <w:spacing w:before="1"/>
        <w:ind w:left="212" w:right="696" w:firstLine="0"/>
        <w:jc w:val="center"/>
        <w:rPr>
          <w:sz w:val="14"/>
        </w:rPr>
        <w:pStyle w:val="P68B1DB1-Normal7"/>
      </w:pPr>
      <w:r>
        <w:t>耐酸碱ATC电缆</w:t>
      </w:r>
    </w:p>
    <w:p>
      <w:pPr>
        <w:spacing w:line="247" w:lineRule="auto" w:before="5"/>
        <w:ind w:left="200" w:right="685" w:firstLine="0"/>
        <w:jc w:val="center"/>
        <w:rPr>
          <w:sz w:val="14"/>
        </w:rPr>
        <w:pStyle w:val="P68B1DB1-Normal8"/>
      </w:pPr>
      <w:r>
        <w:t>具有</w:t>
      </w:r>
      <w:r>
        <w:rPr>
          <w:w w:val="95"/>
        </w:rPr>
        <w:t>自动温度补偿</w:t>
      </w:r>
      <w:r>
        <w:t>的CPVC电缆安装组件</w:t>
      </w:r>
    </w:p>
    <w:p>
      <w:pPr>
        <w:spacing w:after="0" w:line="247" w:lineRule="auto"/>
        <w:jc w:val="center"/>
        <w:rPr>
          <w:sz w:val="14"/>
        </w:rPr>
        <w:sectPr>
          <w:type w:val="continuous"/>
          <w:pgSz w:w="12240" w:h="15840"/>
          <w:pgMar w:top="0" w:bottom="0" w:left="260" w:right="260"/>
          <w:cols w:num="3" w:equalWidth="0">
            <w:col w:w="2610" w:space="486"/>
            <w:col w:w="5167" w:space="346"/>
            <w:col w:w="3111"/>
          </w:cols>
        </w:sectPr>
      </w:pPr>
    </w:p>
    <w:p>
      <w:pPr>
        <w:pStyle w:val="BodyText"/>
        <w:spacing w:before="10"/>
        <w:rPr>
          <w:sz w:val="29"/>
        </w:rPr>
      </w:pPr>
      <w:r>
        <w:pict>
          <v:group style="position:absolute;margin-left:-.000167pt;margin-top:0pt;width:612pt;height:406.25pt;mso-position-horizontal-relative:page;mso-position-vertical-relative:page;z-index:-15836160" coordorigin="0,0" coordsize="12240,8125">
            <v:shape style="position:absolute;left:0;top:0;width:12240;height:4500" coordorigin="0,0" coordsize="12240,4500" path="m12240,0l0,0,0,4500,3200,2511,7265,1499,10757,1133,12240,1084,12240,0xe" filled="true" fillcolor="#556234" stroked="false">
              <v:path arrowok="t"/>
              <v:fill type="solid"/>
            </v:shape>
            <v:rect style="position:absolute;left:0;top:2448;width:3356;height:5674" filled="true" fillcolor="#dfdfe8" stroked="false">
              <v:fill type="solid"/>
            </v:rect>
            <v:shape style="position:absolute;left:8308;top:1560;width:3212;height:614" type="#_x0000_t75" stroked="false">
              <v:imagedata r:id="rId5" o:title=""/>
            </v:shape>
            <v:line style="position:absolute" from="0,8122" to="12240,8122" stroked="true" strokeweight=".25pt" strokecolor="#231f20">
              <v:stroke dashstyle="solid"/>
            </v:line>
            <v:shape style="position:absolute;left:8791;top:2476;width:2855;height:2179" type="#_x0000_t75" stroked="false">
              <v:imagedata r:id="rId6" o:title=""/>
            </v:shape>
            <v:shape style="position:absolute;left:8841;top:5673;width:2805;height:1775" type="#_x0000_t75" stroked="false">
              <v:imagedata r:id="rId7" o:title=""/>
            </v:shape>
            <w10:wrap type="none"/>
          </v:group>
        </w:pict>
        <w:pict>
          <v:line style="position:absolute;mso-position-horizontal-relative:page;mso-position-vertical-relative:page;z-index:-15835648" from="0pt,747.359985pt" to="612pt,747.359985pt" stroked="true" strokeweight=".25pt" strokecolor="#231f20">
            <v:stroke dashstyle="solid"/>
            <w10:wrap type="none"/>
          </v:line>
        </w:pict>
      </w:r>
    </w:p>
    <w:p>
      <w:pPr>
        <w:pStyle w:val="Title"/>
      </w:pPr>
      <w:r>
        <w:pict>
          <v:shape style="position:absolute;margin-left:18pt;margin-top:26.881514pt;width:576pt;height:.1pt;mso-position-horizontal-relative:page;mso-position-vertical-relative:paragraph;z-index:-15728640;mso-wrap-distance-left:0;mso-wrap-distance-right:0" coordorigin="360,538" coordsize="11520,0" path="m360,538l11880,538e" filled="false" stroked="true" strokeweight="2pt" strokecolor="#556234">
            <v:path arrowok="t"/>
            <v:stroke dashstyle="solid"/>
            <w10:wrap type="topAndBottom"/>
          </v:shape>
        </w:pict>
      </w:r>
      <w: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pt;margin-top:36.901512pt;width:274.45pt;height:71.9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939598"/>
                      <w:left w:val="single" w:sz="2" w:space="0" w:color="939598"/>
                      <w:bottom w:val="single" w:sz="2" w:space="0" w:color="939598"/>
                      <w:right w:val="single" w:sz="2" w:space="0" w:color="939598"/>
                      <w:insideH w:val="single" w:sz="2" w:space="0" w:color="939598"/>
                      <w:insideV w:val="single" w:sz="2" w:space="0" w:color="93959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100"/>
                    <w:gridCol w:w="3382"/>
                  </w:tblGrid>
                  <w:tr>
                    <w:trPr>
                      <w:trHeight w:val="291" w:hRule="atLeast"/>
                    </w:trPr>
                    <w:tc>
                      <w:tcPr>
                        <w:tcW w:w="2100" w:type="dxa"/>
                        <w:shd w:val="clear" w:color="auto" w:fill="E6E7E8"/>
                      </w:tcPr>
                      <w:p>
                        <w:pPr>
                          <w:pStyle w:val="P68B1DB1-TableParagraph9"/>
                          <w:spacing w:before="55"/>
                          <w:ind w:right="73"/>
                          <w:jc w:val="right"/>
                          <w:rPr>
                            <w:sz w:val="16"/>
                          </w:rPr>
                        </w:pPr>
                        <w:r>
                          <w:t>最高温度：</w:t>
                        </w:r>
                      </w:p>
                    </w:tc>
                    <w:tc>
                      <w:tcPr>
                        <w:tcW w:w="3382" w:type="dxa"/>
                        <w:shd w:val="clear" w:color="auto" w:fill="E6E7E8"/>
                      </w:tcPr>
                      <w:p>
                        <w:pPr>
                          <w:pStyle w:val="P68B1DB1-TableParagraph9"/>
                          <w:spacing w:before="55"/>
                          <w:ind w:left="79"/>
                          <w:rPr>
                            <w:sz w:val="16"/>
                          </w:rPr>
                        </w:pPr>
                        <w:r>
                          <w:t xml:space="preserve">65 °C（150 °F）</w:t>
                        </w:r>
                      </w:p>
                    </w:tc>
                  </w:tr>
                  <w:tr>
                    <w:trPr>
                      <w:trHeight w:val="467" w:hRule="atLeast"/>
                    </w:trPr>
                    <w:tc>
                      <w:tcPr>
                        <w:tcW w:w="2100" w:type="dxa"/>
                      </w:tcPr>
                      <w:p>
                        <w:pPr>
                          <w:pStyle w:val="P68B1DB1-TableParagraph10"/>
                          <w:spacing w:before="47"/>
                          <w:ind w:right="73"/>
                          <w:jc w:val="right"/>
                          <w:rPr>
                            <w:sz w:val="16"/>
                          </w:rPr>
                        </w:pPr>
                        <w:r>
                          <w:t>兼容MadgeTech</w:t>
                        </w:r>
                      </w:p>
                      <w:p>
                        <w:pPr>
                          <w:pStyle w:val="P68B1DB1-TableParagraph10"/>
                          <w:spacing w:before="6"/>
                          <w:ind w:right="73"/>
                          <w:jc w:val="right"/>
                          <w:rPr>
                            <w:sz w:val="16"/>
                          </w:rPr>
                        </w:pPr>
                        <w:r>
                          <w:t>数据记录器：</w:t>
                        </w:r>
                      </w:p>
                    </w:tc>
                    <w:tc>
                      <w:tcPr>
                        <w:tcW w:w="3382" w:type="dxa"/>
                      </w:tcPr>
                      <w:p>
                        <w:pPr>
                          <w:pStyle w:val="P68B1DB1-TableParagraph11"/>
                          <w:spacing w:before="143"/>
                          <w:ind w:left="79"/>
                          <w:rPr>
                            <w:sz w:val="16"/>
                          </w:rPr>
                        </w:pPr>
                        <w:r>
                          <w:t>pHTemp2000</w:t>
                        </w:r>
                      </w:p>
                    </w:tc>
                  </w:tr>
                  <w:tr>
                    <w:trPr>
                      <w:trHeight w:val="658" w:hRule="atLeast"/>
                    </w:trPr>
                    <w:tc>
                      <w:tcPr>
                        <w:tcW w:w="2100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7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P68B1DB1-TableParagraph9"/>
                          <w:spacing w:before="0"/>
                          <w:ind w:right="73"/>
                          <w:jc w:val="right"/>
                          <w:rPr>
                            <w:sz w:val="16"/>
                          </w:rPr>
                        </w:pPr>
                        <w:r>
                          <w:t>电阻器套件：</w:t>
                        </w:r>
                      </w:p>
                    </w:tc>
                    <w:tc>
                      <w:tcPr>
                        <w:tcW w:w="3382" w:type="dxa"/>
                        <w:shd w:val="clear" w:color="auto" w:fill="E6E7E8"/>
                      </w:tcPr>
                      <w:p>
                        <w:pPr>
                          <w:pStyle w:val="P68B1DB1-TableParagraph11"/>
                          <w:spacing w:line="247" w:lineRule="auto" w:before="47"/>
                          <w:ind w:left="79" w:right="263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</w:rPr>
                          <w:t>参考电阻器</w:t>
                        </w:r>
                        <w:r>
                          <w:t>套件中的表格，校准电阻器以模拟应用温度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pict>
          <v:shape style="position:absolute;margin-left:306pt;margin-top:36.901512pt;width:287.8pt;height:72.1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2" w:type="dxa"/>
                    <w:tblBorders>
                      <w:top w:val="single" w:sz="2" w:space="0" w:color="939598"/>
                      <w:left w:val="single" w:sz="2" w:space="0" w:color="939598"/>
                      <w:bottom w:val="single" w:sz="2" w:space="0" w:color="939598"/>
                      <w:right w:val="single" w:sz="2" w:space="0" w:color="939598"/>
                      <w:insideH w:val="single" w:sz="2" w:space="0" w:color="939598"/>
                      <w:insideV w:val="single" w:sz="2" w:space="0" w:color="939598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21"/>
                    <w:gridCol w:w="4627"/>
                  </w:tblGrid>
                  <w:tr>
                    <w:trPr>
                      <w:trHeight w:val="736" w:hRule="atLeast"/>
                    </w:trPr>
                    <w:tc>
                      <w:tcPr>
                        <w:tcW w:w="1121" w:type="dxa"/>
                        <w:shd w:val="clear" w:color="auto" w:fill="E6E7E8"/>
                      </w:tcPr>
                      <w:p>
                        <w:pPr>
                          <w:pStyle w:val="TableParagraph"/>
                          <w:spacing w:before="11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P68B1DB1-TableParagraph11"/>
                          <w:spacing w:before="0"/>
                          <w:ind w:right="73"/>
                          <w:jc w:val="right"/>
                          <w:rPr>
                            <w:sz w:val="16"/>
                          </w:rPr>
                        </w:pPr>
                        <w:r>
                          <w:t>尺寸：</w:t>
                        </w:r>
                      </w:p>
                    </w:tc>
                    <w:tc>
                      <w:tcPr>
                        <w:tcW w:w="4627" w:type="dxa"/>
                        <w:shd w:val="clear" w:color="auto" w:fill="E6E7E8"/>
                      </w:tcPr>
                      <w:p>
                        <w:pPr>
                          <w:pStyle w:val="P68B1DB1-TableParagraph11"/>
                          <w:numPr>
                            <w:ilvl w:val="0"/>
                            <w:numId w:val="2"/>
                          </w:numPr>
                          <w:tabs>
                            <w:tab w:pos="260" w:val="left" w:leader="none"/>
                          </w:tabs>
                          <w:spacing w:line="240" w:lineRule="auto" w:before="86" w:after="0"/>
                          <w:ind w:left="259" w:right="0" w:hanging="181"/>
                          <w:jc w:val="left"/>
                          <w:rPr>
                            <w:sz w:val="16"/>
                          </w:rPr>
                        </w:pPr>
                        <w:r>
                          <w:t xml:space="preserve">pH-坚固型电极：3 in x 0.9 in（76 mm x 23 mm）</w:t>
                        </w:r>
                      </w:p>
                      <w:p>
                        <w:pPr>
                          <w:pStyle w:val="P68B1DB1-TableParagraph11"/>
                          <w:numPr>
                            <w:ilvl w:val="0"/>
                            <w:numId w:val="2"/>
                          </w:numPr>
                          <w:tabs>
                            <w:tab w:pos="260" w:val="left" w:leader="none"/>
                          </w:tabs>
                          <w:spacing w:line="240" w:lineRule="auto" w:before="6" w:after="0"/>
                          <w:ind w:left="259" w:right="0" w:hanging="181"/>
                          <w:jc w:val="left"/>
                          <w:rPr>
                            <w:sz w:val="16"/>
                          </w:rPr>
                        </w:pPr>
                        <w:r>
                          <w:t xml:space="preserve">pH加固型电缆：120 in x 0.83 in（3048 mm x 21 mm）</w:t>
                        </w:r>
                      </w:p>
                      <w:p>
                        <w:pPr>
                          <w:pStyle w:val="P68B1DB1-TableParagraph11"/>
                          <w:numPr>
                            <w:ilvl w:val="0"/>
                            <w:numId w:val="2"/>
                          </w:numPr>
                          <w:tabs>
                            <w:tab w:pos="260" w:val="left" w:leader="none"/>
                          </w:tabs>
                          <w:spacing w:line="240" w:lineRule="auto" w:before="6" w:after="0"/>
                          <w:ind w:left="259" w:right="0" w:hanging="181"/>
                          <w:jc w:val="left"/>
                          <w:rPr>
                            <w:sz w:val="16"/>
                          </w:rPr>
                        </w:pPr>
                        <w:r>
                          <w:t xml:space="preserve">pH加固型ATC电缆：120英寸x 1.3英寸（3048 mm x 33 mm）</w:t>
                        </w:r>
                      </w:p>
                    </w:tc>
                  </w:tr>
                  <w:tr>
                    <w:trPr>
                      <w:trHeight w:val="689" w:hRule="atLeast"/>
                    </w:trPr>
                    <w:tc>
                      <w:tcPr>
                        <w:tcW w:w="1121" w:type="dxa"/>
                      </w:tcPr>
                      <w:p>
                        <w:pPr>
                          <w:pStyle w:val="TableParagraph"/>
                          <w:spacing w:before="10"/>
                          <w:rPr>
                            <w:sz w:val="21"/>
                          </w:rPr>
                        </w:pPr>
                      </w:p>
                      <w:p>
                        <w:pPr>
                          <w:pStyle w:val="P68B1DB1-TableParagraph11"/>
                          <w:spacing w:before="0"/>
                          <w:ind w:right="73"/>
                          <w:jc w:val="right"/>
                          <w:rPr>
                            <w:sz w:val="16"/>
                          </w:rPr>
                        </w:pPr>
                        <w:r>
                          <w:t>重量：</w:t>
                        </w:r>
                      </w:p>
                    </w:tc>
                    <w:tc>
                      <w:tcPr>
                        <w:tcW w:w="4627" w:type="dxa"/>
                      </w:tcPr>
                      <w:p>
                        <w:pPr>
                          <w:pStyle w:val="P68B1DB1-TableParagraph10"/>
                          <w:numPr>
                            <w:ilvl w:val="0"/>
                            <w:numId w:val="3"/>
                          </w:numPr>
                          <w:tabs>
                            <w:tab w:pos="260" w:val="left" w:leader="none"/>
                          </w:tabs>
                          <w:spacing w:line="240" w:lineRule="auto" w:before="62" w:after="0"/>
                          <w:ind w:left="259" w:right="0" w:hanging="181"/>
                          <w:jc w:val="left"/>
                          <w:rPr>
                            <w:sz w:val="16"/>
                          </w:rPr>
                        </w:pPr>
                        <w:r>
                          <w:t>pH-坚固型电极：1.3盎司（37克）</w:t>
                        </w:r>
                      </w:p>
                      <w:p>
                        <w:pPr>
                          <w:pStyle w:val="P68B1DB1-TableParagraph10"/>
                          <w:numPr>
                            <w:ilvl w:val="0"/>
                            <w:numId w:val="3"/>
                          </w:numPr>
                          <w:tabs>
                            <w:tab w:pos="260" w:val="left" w:leader="none"/>
                          </w:tabs>
                          <w:spacing w:line="240" w:lineRule="auto" w:before="7" w:after="0"/>
                          <w:ind w:left="259" w:right="0" w:hanging="181"/>
                          <w:jc w:val="left"/>
                          <w:rPr>
                            <w:sz w:val="16"/>
                          </w:rPr>
                        </w:pPr>
                        <w:r>
                          <w:t>pH-坚固型电缆：8.4盎司（238克）</w:t>
                        </w:r>
                      </w:p>
                      <w:p>
                        <w:pPr>
                          <w:pStyle w:val="P68B1DB1-TableParagraph10"/>
                          <w:numPr>
                            <w:ilvl w:val="0"/>
                            <w:numId w:val="3"/>
                          </w:numPr>
                          <w:tabs>
                            <w:tab w:pos="260" w:val="left" w:leader="none"/>
                          </w:tabs>
                          <w:spacing w:line="240" w:lineRule="auto" w:before="6" w:after="0"/>
                          <w:ind w:left="259" w:right="0" w:hanging="181"/>
                          <w:jc w:val="left"/>
                          <w:rPr>
                            <w:sz w:val="16"/>
                          </w:rPr>
                        </w:pPr>
                        <w:r>
                          <w:t>耐酸碱ATC电缆：8.4盎司（238克）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>
          <w:color w:val="231F20"/>
        </w:rPr>
        <w:t xml:space="preserve">规格 *</w:t>
      </w:r>
    </w:p>
    <w:p>
      <w:pPr>
        <w:pStyle w:val="BodyText"/>
        <w:spacing w:before="7"/>
        <w:rPr>
          <w:sz w:val="9"/>
        </w:rPr>
      </w:pPr>
    </w:p>
    <w:p>
      <w:pPr>
        <w:spacing w:before="259"/>
        <w:ind w:left="100" w:right="0" w:firstLine="0"/>
        <w:jc w:val="left"/>
        <w:rPr>
          <w:sz w:val="12"/>
        </w:rPr>
        <w:pStyle w:val="P68B1DB1-Normal12"/>
      </w:pPr>
      <w:r>
        <w:t xml:space="preserve">* 规格如有变更，恕不另行通知。</w:t>
      </w:r>
      <w:r>
        <w:t>具体的保修补救限制适用。</w:t>
      </w:r>
      <w:r>
        <w:t>请致电1-603-456-2011或登录</w:t>
      </w:r>
      <w:hyperlink r:id="rId8">
        <w:r>
          <w:t>www.madgetech.com</w:t>
        </w:r>
      </w:hyperlink>
      <w:r>
        <w:t>获取优惠。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tbl>
      <w:tblPr>
        <w:tblW w:w="0" w:type="auto"/>
        <w:jc w:val="left"/>
        <w:tblInd w:w="107" w:type="dxa"/>
        <w:tblBorders>
          <w:top w:val="single" w:sz="2" w:space="0" w:color="939598"/>
          <w:left w:val="single" w:sz="2" w:space="0" w:color="939598"/>
          <w:bottom w:val="single" w:sz="2" w:space="0" w:color="939598"/>
          <w:right w:val="single" w:sz="2" w:space="0" w:color="939598"/>
          <w:insideH w:val="single" w:sz="2" w:space="0" w:color="939598"/>
          <w:insideV w:val="single" w:sz="2" w:space="0" w:color="939598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1"/>
        <w:gridCol w:w="6677"/>
      </w:tblGrid>
      <w:tr>
        <w:trPr>
          <w:trHeight w:val="498" w:hRule="atLeast"/>
        </w:trPr>
        <w:tc>
          <w:tcPr>
            <w:tcW w:w="2141" w:type="dxa"/>
            <w:tcBorders>
              <w:bottom w:val="nil"/>
              <w:right w:val="nil"/>
            </w:tcBorders>
            <w:shd w:val="clear" w:color="auto" w:fill="556234"/>
          </w:tcPr>
          <w:p>
            <w:pPr>
              <w:pStyle w:val="P68B1DB1-TableParagraph13"/>
              <w:spacing w:before="124"/>
              <w:ind w:left="80"/>
              <w:rPr>
                <w:sz w:val="22"/>
              </w:rPr>
            </w:pPr>
            <w:r>
              <w:t>模型</w:t>
            </w:r>
          </w:p>
        </w:tc>
        <w:tc>
          <w:tcPr>
            <w:tcW w:w="6677" w:type="dxa"/>
            <w:tcBorders>
              <w:left w:val="nil"/>
              <w:bottom w:val="nil"/>
              <w:right w:val="nil"/>
            </w:tcBorders>
            <w:shd w:val="clear" w:color="auto" w:fill="556234"/>
          </w:tcPr>
          <w:p>
            <w:pPr>
              <w:pStyle w:val="P68B1DB1-TableParagraph14"/>
              <w:spacing w:before="124"/>
              <w:ind w:left="82"/>
              <w:rPr>
                <w:sz w:val="22"/>
              </w:rPr>
            </w:pPr>
            <w:r>
              <w:t>描述</w:t>
            </w:r>
          </w:p>
        </w:tc>
      </w:tr>
      <w:tr>
        <w:trPr>
          <w:trHeight w:val="491" w:hRule="atLeast"/>
        </w:trPr>
        <w:tc>
          <w:tcPr>
            <w:tcW w:w="2141" w:type="dxa"/>
            <w:tcBorders>
              <w:top w:val="nil"/>
            </w:tcBorders>
            <w:shd w:val="clear" w:color="auto" w:fill="E6E7E8"/>
          </w:tcPr>
          <w:p>
            <w:pPr>
              <w:pStyle w:val="P68B1DB1-TableParagraph10"/>
              <w:ind w:right="73"/>
              <w:jc w:val="right"/>
              <w:rPr>
                <w:sz w:val="16"/>
              </w:rPr>
            </w:pPr>
            <w:r>
              <w:t>耐酸碱电极</w:t>
            </w:r>
          </w:p>
        </w:tc>
        <w:tc>
          <w:tcPr>
            <w:tcW w:w="6677" w:type="dxa"/>
            <w:tcBorders>
              <w:top w:val="nil"/>
            </w:tcBorders>
            <w:shd w:val="clear" w:color="auto" w:fill="E6E7E8"/>
          </w:tcPr>
          <w:p>
            <w:pPr>
              <w:pStyle w:val="P68B1DB1-TableParagraph10"/>
              <w:ind w:left="79"/>
              <w:rPr>
                <w:sz w:val="16"/>
              </w:rPr>
            </w:pPr>
            <w:r>
              <w:t>浸没式pH电极CPVC</w:t>
            </w:r>
          </w:p>
        </w:tc>
      </w:tr>
      <w:tr>
        <w:trPr>
          <w:trHeight w:val="491" w:hRule="atLeast"/>
        </w:trPr>
        <w:tc>
          <w:tcPr>
            <w:tcW w:w="2141" w:type="dxa"/>
          </w:tcPr>
          <w:p>
            <w:pPr>
              <w:pStyle w:val="P68B1DB1-TableParagraph10"/>
              <w:ind w:right="73"/>
              <w:jc w:val="right"/>
              <w:rPr>
                <w:sz w:val="16"/>
              </w:rPr>
            </w:pPr>
            <w:r>
              <w:t>耐酸碱电缆</w:t>
            </w:r>
          </w:p>
        </w:tc>
        <w:tc>
          <w:tcPr>
            <w:tcW w:w="6677" w:type="dxa"/>
          </w:tcPr>
          <w:p>
            <w:pPr>
              <w:pStyle w:val="P68B1DB1-TableParagraph10"/>
              <w:ind w:left="79"/>
              <w:rPr>
                <w:sz w:val="16"/>
              </w:rPr>
            </w:pPr>
            <w:r>
              <w:t>无温度补偿的CPVC-10英尺电缆</w:t>
            </w:r>
          </w:p>
        </w:tc>
      </w:tr>
      <w:tr>
        <w:trPr>
          <w:trHeight w:val="491" w:hRule="atLeast"/>
        </w:trPr>
        <w:tc>
          <w:tcPr>
            <w:tcW w:w="2141" w:type="dxa"/>
            <w:shd w:val="clear" w:color="auto" w:fill="E6E7E8"/>
          </w:tcPr>
          <w:p>
            <w:pPr>
              <w:pStyle w:val="P68B1DB1-TableParagraph10"/>
              <w:ind w:right="73"/>
              <w:jc w:val="right"/>
              <w:rPr>
                <w:sz w:val="16"/>
              </w:rPr>
            </w:pPr>
            <w:r>
              <w:t>耐酸碱ATC电缆</w:t>
            </w:r>
          </w:p>
        </w:tc>
        <w:tc>
          <w:tcPr>
            <w:tcW w:w="6677" w:type="dxa"/>
            <w:shd w:val="clear" w:color="auto" w:fill="E6E7E8"/>
          </w:tcPr>
          <w:p>
            <w:pPr>
              <w:pStyle w:val="P68B1DB1-TableParagraph11"/>
              <w:ind w:left="79"/>
              <w:rPr>
                <w:sz w:val="16"/>
              </w:rPr>
            </w:pPr>
            <w:r>
              <w:t>带ATC的CPVC-10英尺电缆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8"/>
        </w:rPr>
      </w:pPr>
    </w:p>
    <w:p>
      <w:pPr>
        <w:spacing w:before="93"/>
        <w:ind w:left="424" w:right="0" w:firstLine="0"/>
        <w:jc w:val="left"/>
        <w:rPr>
          <w:rFonts w:ascii="Arial" w:hAnsi="Arial"/>
          <w:sz w:val="24"/>
        </w:rPr>
      </w:pPr>
      <w:r>
        <w:pict>
          <v:group style="position:absolute;margin-left:18pt;margin-top:-182.719147pt;width:576pt;height:156.450pt;mso-position-horizontal-relative:page;mso-position-vertical-relative:paragraph;z-index:-15835136" coordorigin="360,-3654" coordsize="11520,3129">
            <v:shape style="position:absolute;left:360;top:-3217;width:11520;height:2" coordorigin="360,-3216" coordsize="11520,0" path="m360,-3216l10211,-3216m11637,-3216l11880,-3216e" filled="false" stroked="true" strokeweight="2pt" strokecolor="#556234">
              <v:path arrowok="t"/>
              <v:stroke dashstyle="solid"/>
            </v:shape>
            <v:rect style="position:absolute;left:10211;top:-3388;width:1426;height:2852" filled="false" stroked="true" strokeweight="1pt" strokecolor="#556234">
              <v:stroke dashstyle="solid"/>
            </v:rect>
            <v:shape style="position:absolute;left:9384;top:-3182;width:1210;height:1210" coordorigin="9385,-3181" coordsize="1210,1210" path="m9989,-3181l9914,-3176,9840,-3163,9771,-3140,9705,-3110,9644,-3073,9588,-3028,9537,-2978,9493,-2922,9455,-2861,9425,-2795,9403,-2725,9389,-2652,9385,-2576,9389,-2500,9403,-2427,9425,-2358,9455,-2292,9493,-2231,9537,-2175,9588,-2124,9644,-2080,9705,-2042,9771,-2012,9840,-1990,9914,-1976,9989,-1972,10065,-1976,10138,-1990,10208,-2012,10274,-2042,10335,-2080,10391,-2124,10442,-2175,10486,-2231,10523,-2292,10553,-2358,10576,-2427,10589,-2500,10594,-2576,10589,-2652,10576,-2725,10553,-2795,10523,-2861,10486,-2922,10442,-2978,10391,-3028,10335,-3073,10274,-3110,10208,-3140,10138,-3163,10065,-3176,9989,-3181xe" filled="true" fillcolor="#556234" stroked="false">
              <v:path arrowok="t"/>
              <v:fill type="solid"/>
            </v:shape>
            <v:line style="position:absolute" from="3708,-726" to="5236,-726" stroked="true" strokeweight=".4pt" strokecolor="#0645ff">
              <v:stroke dashstyle="solid"/>
            </v:line>
            <v:shape style="position:absolute;left:520;top:-3655;width:3017;height:337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8"/>
                      </w:rPr>
                      <w:pStyle w:val="P68B1DB1-Normal15"/>
                    </w:pPr>
                    <w:r>
                      <w:t>订购信息</w:t>
                    </w:r>
                  </w:p>
                </w:txbxContent>
              </v:textbox>
              <w10:wrap type="none"/>
            </v:shape>
            <v:shape style="position:absolute;left:9619;top:-3224;width:1805;height:2497" type="#_x0000_t202" filled="false" stroked="false">
              <v:textbox inset="0,0,0,0">
                <w:txbxContent>
                  <w:p>
                    <w:pPr>
                      <w:spacing w:before="1"/>
                      <w:ind w:left="822" w:right="18" w:firstLine="0"/>
                      <w:jc w:val="center"/>
                      <w:rPr>
                        <w:sz w:val="13"/>
                      </w:rPr>
                      <w:pStyle w:val="P68B1DB1-Normal16"/>
                    </w:pPr>
                    <w:r>
                      <w:t>温度</w:t>
                    </w:r>
                  </w:p>
                  <w:p>
                    <w:pPr>
                      <w:spacing w:line="131" w:lineRule="exact" w:before="29"/>
                      <w:ind w:left="821" w:right="18" w:firstLine="0"/>
                      <w:jc w:val="center"/>
                      <w:rPr>
                        <w:sz w:val="13"/>
                      </w:rPr>
                      <w:pStyle w:val="P68B1DB1-Normal16"/>
                    </w:pPr>
                    <w:r>
                      <w:t>湿度</w:t>
                    </w:r>
                  </w:p>
                  <w:p>
                    <w:pPr>
                      <w:tabs>
                        <w:tab w:pos="1076" w:val="left" w:leader="none"/>
                      </w:tabs>
                      <w:spacing w:line="177" w:lineRule="auto" w:before="4"/>
                      <w:ind w:left="6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FFFFF"/>
                        <w:sz w:val="15"/>
                      </w:rPr>
                      <w:t>询问</w:t>
                    </w:r>
                    <w:r>
                      <w:rPr>
                        <w:color w:val="231F20"/>
                        <w:position w:val="-4"/>
                        <w:sz w:val="13"/>
                      </w:rPr>
                      <w:t>压力</w:t>
                    </w:r>
                  </w:p>
                  <w:p>
                    <w:pPr>
                      <w:tabs>
                        <w:tab w:pos="1224" w:val="left" w:leader="none"/>
                      </w:tabs>
                      <w:spacing w:line="180" w:lineRule="auto" w:before="4"/>
                      <w:ind w:left="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FFFFFF"/>
                        <w:sz w:val="15"/>
                      </w:rPr>
                      <w:t>我们的其他</w:t>
                    </w:r>
                    <w:r>
                      <w:rPr>
                        <w:color w:val="231F20"/>
                        <w:position w:val="-4"/>
                        <w:sz w:val="13"/>
                      </w:rPr>
                      <w:t>pH值</w:t>
                    </w:r>
                  </w:p>
                  <w:p>
                    <w:pPr>
                      <w:tabs>
                        <w:tab w:pos="959" w:val="left" w:leader="none"/>
                      </w:tabs>
                      <w:spacing w:line="180" w:lineRule="exact" w:before="0"/>
                      <w:ind w:left="0" w:right="357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color w:val="FFFFFF"/>
                        <w:position w:val="5"/>
                        <w:sz w:val="15"/>
                      </w:rPr>
                      <w:t>数据</w:t>
                      <w:tab/>
                    </w:r>
                    <w:r>
                      <w:rPr>
                        <w:color w:val="231F20"/>
                        <w:sz w:val="13"/>
                      </w:rPr>
                      <w:t>级别</w:t>
                    </w:r>
                  </w:p>
                  <w:p>
                    <w:pPr>
                      <w:tabs>
                        <w:tab w:pos="1066" w:val="left" w:leader="none"/>
                      </w:tabs>
                      <w:spacing w:line="204" w:lineRule="auto" w:before="0"/>
                      <w:ind w:left="0" w:right="334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color w:val="FFFFFF"/>
                        <w:sz w:val="15"/>
                      </w:rPr>
                      <w:t>伐木工</w:t>
                    </w:r>
                    <w:r>
                      <w:rPr>
                        <w:color w:val="231F20"/>
                        <w:position w:val="-4"/>
                        <w:sz w:val="13"/>
                      </w:rPr>
                      <w:t>震惊</w:t>
                    </w:r>
                  </w:p>
                  <w:p>
                    <w:pPr>
                      <w:spacing w:line="285" w:lineRule="auto" w:before="34"/>
                      <w:ind w:left="824" w:right="18" w:firstLine="0"/>
                      <w:jc w:val="center"/>
                      <w:rPr>
                        <w:sz w:val="13"/>
                      </w:rPr>
                      <w:pStyle w:val="P68B1DB1-Normal16"/>
                    </w:pPr>
                    <w:r>
                      <w:t>LCD显示</w:t>
                    </w:r>
                    <w:r>
                      <w:rPr>
                        <w:spacing w:val="-1"/>
                        <w:w w:val="90"/>
                      </w:rPr>
                      <w:t>脉冲/事件/状态</w:t>
                    </w:r>
                    <w:r>
                      <w:t>电流</w:t>
                    </w:r>
                  </w:p>
                  <w:p>
                    <w:pPr>
                      <w:spacing w:line="285" w:lineRule="auto" w:before="1"/>
                      <w:ind w:left="866" w:right="61" w:firstLine="0"/>
                      <w:jc w:val="center"/>
                      <w:rPr>
                        <w:sz w:val="13"/>
                      </w:rPr>
                      <w:pStyle w:val="P68B1DB1-Normal16"/>
                    </w:pPr>
                    <w:r>
                      <w:t>电压无线</w:t>
                    </w:r>
                    <w:r>
                      <w:rPr>
                        <w:w w:val="90"/>
                      </w:rPr>
                      <w:t>内部安全</w:t>
                    </w:r>
                  </w:p>
                  <w:p>
                    <w:pPr>
                      <w:spacing w:line="285" w:lineRule="auto" w:before="0"/>
                      <w:ind w:left="824" w:right="18" w:firstLine="0"/>
                      <w:jc w:val="center"/>
                      <w:rPr>
                        <w:sz w:val="13"/>
                      </w:rPr>
                      <w:pStyle w:val="P68B1DB1-Normal16"/>
                    </w:pPr>
                    <w:r>
                      <w:rPr>
                        <w:w w:val="90"/>
                      </w:rPr>
                      <w:t>光谱振动</w:t>
                    </w:r>
                    <w:r>
                      <w:t>运动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 w:hAnsi="Arial"/>
          <w:sz w:val="24"/>
        </w:rPr>
        <w:t xml:space="preserve">■电话：+86 755-8420 0058 ■传真：+86 755-2822 5583 ■</w:t>
      </w:r>
      <w:hyperlink r:id="rId9">
        <w:r>
          <w:rPr>
            <w:rFonts w:ascii="Arial" w:hAnsi="Arial"/>
            <w:sz w:val="24"/>
          </w:rPr>
          <w:t>E-mail:sales@eofirm.com</w:t>
        </w:r>
      </w:hyperlink>
      <w:r>
        <w:rPr>
          <w:rFonts w:ascii="Arial" w:hAnsi="Arial"/>
          <w:sz w:val="24"/>
        </w:rPr>
        <w:t xml:space="preserve"> ■</w:t>
      </w:r>
      <w:hyperlink r:id="rId10">
        <w:r>
          <w:rPr>
            <w:rFonts w:ascii="Arial" w:hAnsi="Arial"/>
            <w:sz w:val="24"/>
          </w:rPr>
          <w:t>http://www.eofirm.com</w:t>
        </w:r>
      </w:hyperlink>
    </w:p>
    <w:sectPr>
      <w:type w:val="continuous"/>
      <w:pgSz w:w="12240" w:h="15840"/>
      <w:pgMar w:top="0" w:bottom="0" w:left="260" w:right="2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259" w:hanging="180"/>
      </w:pPr>
      <w:rPr>
        <w:rFonts w:hint="default" w:ascii="Trebuchet MS" w:hAnsi="Trebuchet MS" w:eastAsia="Trebuchet MS" w:cs="Trebuchet MS"/>
        <w:color w:val="231F20"/>
        <w:w w:val="53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4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1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49" w:hanging="18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259" w:hanging="180"/>
      </w:pPr>
      <w:rPr>
        <w:rFonts w:hint="default" w:ascii="Trebuchet MS" w:hAnsi="Trebuchet MS" w:eastAsia="Trebuchet MS" w:cs="Trebuchet MS"/>
        <w:color w:val="231F20"/>
        <w:w w:val="53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96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32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6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4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4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87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13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49" w:hanging="18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80" w:hanging="180"/>
      </w:pPr>
      <w:rPr>
        <w:rFonts w:hint="default" w:ascii="Trebuchet MS" w:hAnsi="Trebuchet MS" w:eastAsia="Trebuchet MS" w:cs="Trebuchet MS"/>
        <w:color w:val="231F20"/>
        <w:w w:val="55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02" w:hanging="18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25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8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1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494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717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940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163" w:hanging="18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Trebuchet MS" w:hAnsi="Trebuchet MS" w:cs="Trebuchet MS" w:eastAsia="Trebuchet MS"/>
    </w:rPr>
  </w:style>
  <w:style w:styleId="BodyText" w:type="paragraph">
    <w:name w:val="Body Text"/>
    <w:basedOn w:val="Normal"/>
    <w:uiPriority w:val="1"/>
    <w:qFormat/>
    <w:rPr>
      <w:rFonts w:ascii="Trebuchet MS" w:hAnsi="Trebuchet MS" w:cs="Trebuchet MS" w:eastAsia="Trebuchet MS"/>
      <w:sz w:val="18"/>
      <w:szCs w:val="18"/>
    </w:rPr>
  </w:style>
  <w:style w:styleId="Title" w:type="paragraph">
    <w:name w:val="Title"/>
    <w:basedOn w:val="Normal"/>
    <w:uiPriority w:val="1"/>
    <w:qFormat/>
    <w:pPr>
      <w:spacing w:before="103"/>
      <w:ind w:left="259"/>
    </w:pPr>
    <w:rPr>
      <w:rFonts w:ascii="Trebuchet MS" w:hAnsi="Trebuchet MS" w:cs="Trebuchet MS" w:eastAsia="Trebuchet MS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before="66"/>
      <w:ind w:left="380" w:hanging="181"/>
    </w:pPr>
    <w:rPr>
      <w:rFonts w:ascii="Trebuchet MS" w:hAnsi="Trebuchet MS" w:cs="Trebuchet MS" w:eastAsia="Trebuchet MS"/>
    </w:rPr>
  </w:style>
  <w:style w:styleId="TableParagraph" w:type="paragraph">
    <w:name w:val="Table Paragraph"/>
    <w:basedOn w:val="Normal"/>
    <w:uiPriority w:val="1"/>
    <w:qFormat/>
    <w:pPr>
      <w:spacing w:before="155"/>
    </w:pPr>
    <w:rPr>
      <w:rFonts w:ascii="Trebuchet MS" w:hAnsi="Trebuchet MS" w:cs="Trebuchet MS" w:eastAsia="Trebuchet MS"/>
    </w:rPr>
  </w:style>
  <w:style w:type="paragraph" w:styleId="P68B1DB1-Normal1">
    <w:name w:val="P68B1DB1-Normal1"/>
    <w:basedOn w:val="Normal"/>
    <w:rPr>
      <w:color w:val="FFFFFF"/>
    </w:rPr>
  </w:style>
  <w:style w:type="paragraph" w:styleId="P68B1DB1-Normal2">
    <w:name w:val="P68B1DB1-Normal2"/>
    <w:basedOn w:val="Normal"/>
    <w:rPr>
      <w:color w:val="231F20"/>
      <w:sz w:val="15"/>
    </w:rPr>
  </w:style>
  <w:style w:type="paragraph" w:styleId="P68B1DB1-ListParagraph3">
    <w:name w:val="P68B1DB1-ListParagraph3"/>
    <w:basedOn w:val="ListParagraph"/>
    <w:rPr>
      <w:color w:val="231F20"/>
      <w:sz w:val="15"/>
    </w:rPr>
  </w:style>
  <w:style w:type="paragraph" w:styleId="P68B1DB1-ListParagraph4">
    <w:name w:val="P68B1DB1-ListParagraph4"/>
    <w:basedOn w:val="ListParagraph"/>
    <w:rPr>
      <w:color w:val="231F20"/>
      <w:w w:val="105"/>
      <w:sz w:val="15"/>
    </w:rPr>
  </w:style>
  <w:style w:type="paragraph" w:styleId="P68B1DB1-ListParagraph5">
    <w:name w:val="P68B1DB1-ListParagraph5"/>
    <w:basedOn w:val="ListParagraph"/>
    <w:rPr>
      <w:color w:val="231F20"/>
      <w:w w:val="95"/>
      <w:sz w:val="15"/>
    </w:rPr>
  </w:style>
  <w:style w:type="paragraph" w:styleId="P68B1DB1-BodyText6">
    <w:name w:val="P68B1DB1-BodyText6"/>
    <w:basedOn w:val="BodyText"/>
    <w:rPr>
      <w:color w:val="231F20"/>
    </w:rPr>
  </w:style>
  <w:style w:type="paragraph" w:styleId="P68B1DB1-Normal7">
    <w:name w:val="P68B1DB1-Normal7"/>
    <w:basedOn w:val="Normal"/>
    <w:rPr>
      <w:color w:val="231F20"/>
      <w:w w:val="95"/>
      <w:sz w:val="14"/>
    </w:rPr>
  </w:style>
  <w:style w:type="paragraph" w:styleId="P68B1DB1-Normal8">
    <w:name w:val="P68B1DB1-Normal8"/>
    <w:basedOn w:val="Normal"/>
    <w:rPr>
      <w:color w:val="231F20"/>
      <w:sz w:val="14"/>
    </w:rPr>
  </w:style>
  <w:style w:type="paragraph" w:styleId="P68B1DB1-TableParagraph9">
    <w:name w:val="P68B1DB1-TableParagraph9"/>
    <w:basedOn w:val="TableParagraph"/>
    <w:rPr>
      <w:color w:val="231F20"/>
      <w:w w:val="90"/>
      <w:sz w:val="16"/>
    </w:rPr>
  </w:style>
  <w:style w:type="paragraph" w:styleId="P68B1DB1-TableParagraph10">
    <w:name w:val="P68B1DB1-TableParagraph10"/>
    <w:basedOn w:val="TableParagraph"/>
    <w:rPr>
      <w:color w:val="231F20"/>
      <w:w w:val="95"/>
      <w:sz w:val="16"/>
    </w:rPr>
  </w:style>
  <w:style w:type="paragraph" w:styleId="P68B1DB1-TableParagraph11">
    <w:name w:val="P68B1DB1-TableParagraph11"/>
    <w:basedOn w:val="TableParagraph"/>
    <w:rPr>
      <w:color w:val="231F20"/>
      <w:sz w:val="16"/>
    </w:rPr>
  </w:style>
  <w:style w:type="paragraph" w:styleId="P68B1DB1-Normal12">
    <w:name w:val="P68B1DB1-Normal12"/>
    <w:basedOn w:val="Normal"/>
    <w:rPr>
      <w:color w:val="231F20"/>
      <w:w w:val="95"/>
      <w:sz w:val="12"/>
    </w:rPr>
  </w:style>
  <w:style w:type="paragraph" w:styleId="P68B1DB1-TableParagraph13">
    <w:name w:val="P68B1DB1-TableParagraph13"/>
    <w:basedOn w:val="TableParagraph"/>
    <w:rPr>
      <w:color w:val="FFFFFF"/>
      <w:w w:val="105"/>
    </w:rPr>
  </w:style>
  <w:style w:type="paragraph" w:styleId="P68B1DB1-TableParagraph14">
    <w:name w:val="P68B1DB1-TableParagraph14"/>
    <w:basedOn w:val="TableParagraph"/>
    <w:rPr>
      <w:color w:val="FFFFFF"/>
    </w:rPr>
  </w:style>
  <w:style w:type="paragraph" w:styleId="P68B1DB1-Normal15">
    <w:name w:val="P68B1DB1-Normal15"/>
    <w:basedOn w:val="Normal"/>
    <w:rPr>
      <w:color w:val="231F20"/>
      <w:w w:val="95"/>
      <w:sz w:val="28"/>
    </w:rPr>
  </w:style>
  <w:style w:type="paragraph" w:styleId="P68B1DB1-Normal16">
    <w:name w:val="P68B1DB1-Normal16"/>
    <w:basedOn w:val="Normal"/>
    <w:rPr>
      <w:color w:val="231F20"/>
      <w:sz w:val="13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http://WWW.MADGETECH.COM/" TargetMode="External"/><Relationship Id="rId9" Type="http://schemas.openxmlformats.org/officeDocument/2006/relationships/hyperlink" Target="mailto:sales@eofirm.com" TargetMode="External"/><Relationship Id="rId10" Type="http://schemas.openxmlformats.org/officeDocument/2006/relationships/hyperlink" Target="http://www.eofirm.com/" TargetMode="External"/><Relationship Id="rId11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2024-10-28T09:59:28Z</dcterms:created>
  <dcterms:modified xsi:type="dcterms:W3CDTF">2024-10-28T09:59:28Z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2024-10-28T00:00:00Z</vt:filetime>
  </property>
</Properties>
</file>